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C59" w:rsidRPr="00E26B84" w:rsidRDefault="004D2E64" w:rsidP="00006E60">
      <w:pPr>
        <w:jc w:val="right"/>
        <w:rPr>
          <w:b/>
        </w:rPr>
      </w:pPr>
      <w:r w:rsidRPr="00E26B84">
        <w:rPr>
          <w:b/>
        </w:rPr>
        <w:tab/>
      </w:r>
      <w:r w:rsidR="00190392" w:rsidRPr="00E26B84">
        <w:rPr>
          <w:b/>
        </w:rPr>
        <w:t xml:space="preserve">Approved by </w:t>
      </w:r>
      <w:r w:rsidRPr="00E26B84">
        <w:rPr>
          <w:b/>
        </w:rPr>
        <w:t xml:space="preserve"> </w:t>
      </w:r>
    </w:p>
    <w:p w:rsidR="00235452" w:rsidRDefault="00190392" w:rsidP="00006E60">
      <w:pPr>
        <w:jc w:val="right"/>
        <w:rPr>
          <w:b/>
        </w:rPr>
      </w:pPr>
      <w:r w:rsidRPr="00E26B84">
        <w:rPr>
          <w:b/>
        </w:rPr>
        <w:t xml:space="preserve">Supervisory Board   </w:t>
      </w:r>
    </w:p>
    <w:p w:rsidR="004D2E64" w:rsidRPr="00E26B84" w:rsidRDefault="00190392" w:rsidP="00006E60">
      <w:pPr>
        <w:jc w:val="right"/>
        <w:rPr>
          <w:b/>
        </w:rPr>
      </w:pPr>
      <w:proofErr w:type="gramStart"/>
      <w:r w:rsidRPr="00E26B84">
        <w:rPr>
          <w:b/>
        </w:rPr>
        <w:t>of</w:t>
      </w:r>
      <w:proofErr w:type="gramEnd"/>
      <w:r w:rsidRPr="00E26B84">
        <w:rPr>
          <w:b/>
        </w:rPr>
        <w:t xml:space="preserve"> </w:t>
      </w:r>
      <w:r w:rsidR="008C10E7" w:rsidRPr="008C10E7">
        <w:rPr>
          <w:b/>
        </w:rPr>
        <w:t>JSC “PIRAEUS BANK ICB”</w:t>
      </w:r>
    </w:p>
    <w:p w:rsidR="008C10E7" w:rsidRDefault="008C10E7" w:rsidP="00006E60">
      <w:pPr>
        <w:jc w:val="right"/>
        <w:rPr>
          <w:b/>
        </w:rPr>
      </w:pPr>
      <w:proofErr w:type="gramStart"/>
      <w:r>
        <w:rPr>
          <w:b/>
        </w:rPr>
        <w:t>the</w:t>
      </w:r>
      <w:proofErr w:type="gramEnd"/>
      <w:r w:rsidRPr="008C10E7">
        <w:rPr>
          <w:b/>
        </w:rPr>
        <w:t xml:space="preserve"> MINUTES No. 21_19</w:t>
      </w:r>
      <w:r w:rsidR="00190392" w:rsidRPr="00E26B84">
        <w:rPr>
          <w:b/>
        </w:rPr>
        <w:t xml:space="preserve">  </w:t>
      </w:r>
    </w:p>
    <w:p w:rsidR="004D2E64" w:rsidRPr="00E26B84" w:rsidRDefault="00190392" w:rsidP="00006E60">
      <w:pPr>
        <w:jc w:val="right"/>
        <w:rPr>
          <w:b/>
        </w:rPr>
      </w:pPr>
      <w:bookmarkStart w:id="0" w:name="_GoBack"/>
      <w:bookmarkEnd w:id="0"/>
      <w:proofErr w:type="gramStart"/>
      <w:r w:rsidRPr="008C10E7">
        <w:rPr>
          <w:b/>
        </w:rPr>
        <w:t xml:space="preserve">from </w:t>
      </w:r>
      <w:r w:rsidR="004D2E64" w:rsidRPr="008C10E7">
        <w:rPr>
          <w:b/>
        </w:rPr>
        <w:t xml:space="preserve"> </w:t>
      </w:r>
      <w:r w:rsidR="008C10E7" w:rsidRPr="008C10E7">
        <w:rPr>
          <w:b/>
        </w:rPr>
        <w:t>30</w:t>
      </w:r>
      <w:r w:rsidR="004D2E64" w:rsidRPr="008C10E7">
        <w:rPr>
          <w:b/>
        </w:rPr>
        <w:t>.</w:t>
      </w:r>
      <w:r w:rsidR="008C10E7" w:rsidRPr="008C10E7">
        <w:rPr>
          <w:b/>
        </w:rPr>
        <w:t>08</w:t>
      </w:r>
      <w:r w:rsidR="004D2E64" w:rsidRPr="008C10E7">
        <w:rPr>
          <w:b/>
        </w:rPr>
        <w:t>.</w:t>
      </w:r>
      <w:r w:rsidR="008C10E7" w:rsidRPr="008C10E7">
        <w:rPr>
          <w:b/>
        </w:rPr>
        <w:t>2019</w:t>
      </w:r>
      <w:proofErr w:type="gramEnd"/>
    </w:p>
    <w:p w:rsidR="004D2E64" w:rsidRPr="00E26B84" w:rsidRDefault="004D2E64" w:rsidP="00006E60">
      <w:pPr>
        <w:jc w:val="both"/>
        <w:rPr>
          <w:b/>
        </w:rPr>
      </w:pPr>
    </w:p>
    <w:p w:rsidR="004D2E64" w:rsidRPr="00E26B84" w:rsidRDefault="004D2E64" w:rsidP="00006E60">
      <w:pPr>
        <w:jc w:val="both"/>
        <w:rPr>
          <w:b/>
        </w:rPr>
      </w:pPr>
    </w:p>
    <w:p w:rsidR="004D2E64" w:rsidRPr="00E26B84" w:rsidRDefault="004D2E64" w:rsidP="00006E60">
      <w:pPr>
        <w:jc w:val="both"/>
        <w:rPr>
          <w:b/>
        </w:rPr>
      </w:pPr>
    </w:p>
    <w:p w:rsidR="004D2E64" w:rsidRPr="00E26B84" w:rsidRDefault="004D2E64" w:rsidP="00006E60">
      <w:pPr>
        <w:jc w:val="both"/>
        <w:rPr>
          <w:b/>
        </w:rPr>
      </w:pPr>
    </w:p>
    <w:p w:rsidR="004D2E64" w:rsidRPr="00E26B84" w:rsidRDefault="004D2E64" w:rsidP="00006E60">
      <w:pPr>
        <w:jc w:val="both"/>
        <w:rPr>
          <w:b/>
        </w:rPr>
      </w:pPr>
    </w:p>
    <w:p w:rsidR="004D2E64" w:rsidRPr="00E26B84" w:rsidRDefault="004D2E64" w:rsidP="00006E60">
      <w:pPr>
        <w:jc w:val="both"/>
        <w:rPr>
          <w:b/>
        </w:rPr>
      </w:pPr>
    </w:p>
    <w:p w:rsidR="004D2E64" w:rsidRPr="00E26B84" w:rsidRDefault="004D2E64" w:rsidP="00006E60">
      <w:pPr>
        <w:jc w:val="both"/>
        <w:rPr>
          <w:b/>
        </w:rPr>
      </w:pPr>
    </w:p>
    <w:p w:rsidR="004D2E64" w:rsidRPr="00E26B84" w:rsidRDefault="004D2E64" w:rsidP="00006E60">
      <w:pPr>
        <w:jc w:val="center"/>
        <w:rPr>
          <w:b/>
        </w:rPr>
      </w:pPr>
    </w:p>
    <w:p w:rsidR="00190392" w:rsidRPr="00E26B84" w:rsidRDefault="00190392" w:rsidP="00190392">
      <w:pPr>
        <w:jc w:val="center"/>
        <w:rPr>
          <w:b/>
        </w:rPr>
      </w:pPr>
    </w:p>
    <w:p w:rsidR="00190392" w:rsidRPr="00E26B84" w:rsidRDefault="00190392" w:rsidP="00190392">
      <w:pPr>
        <w:jc w:val="center"/>
        <w:rPr>
          <w:b/>
          <w:sz w:val="32"/>
          <w:szCs w:val="32"/>
        </w:rPr>
      </w:pPr>
      <w:r w:rsidRPr="00E26B84">
        <w:rPr>
          <w:b/>
          <w:sz w:val="32"/>
          <w:szCs w:val="32"/>
        </w:rPr>
        <w:t xml:space="preserve">The </w:t>
      </w:r>
      <w:r w:rsidR="00EF5AFB">
        <w:rPr>
          <w:b/>
          <w:sz w:val="32"/>
          <w:szCs w:val="32"/>
        </w:rPr>
        <w:t xml:space="preserve">tender </w:t>
      </w:r>
      <w:r w:rsidRPr="00E26B84">
        <w:rPr>
          <w:b/>
          <w:sz w:val="32"/>
          <w:szCs w:val="32"/>
        </w:rPr>
        <w:t xml:space="preserve">procedure for </w:t>
      </w:r>
      <w:r w:rsidR="00EF5AFB">
        <w:rPr>
          <w:b/>
          <w:sz w:val="32"/>
          <w:szCs w:val="32"/>
        </w:rPr>
        <w:t>the selection</w:t>
      </w:r>
      <w:r w:rsidR="00D43D1C" w:rsidRPr="00E26B84">
        <w:rPr>
          <w:b/>
          <w:sz w:val="32"/>
          <w:szCs w:val="32"/>
        </w:rPr>
        <w:t xml:space="preserve"> of</w:t>
      </w:r>
      <w:r w:rsidRPr="00E26B84">
        <w:rPr>
          <w:b/>
          <w:sz w:val="32"/>
          <w:szCs w:val="32"/>
        </w:rPr>
        <w:t xml:space="preserve"> audit firms,</w:t>
      </w:r>
    </w:p>
    <w:p w:rsidR="00190392" w:rsidRPr="00E26B84" w:rsidRDefault="00D43D1C" w:rsidP="00190392">
      <w:pPr>
        <w:jc w:val="center"/>
        <w:rPr>
          <w:b/>
          <w:sz w:val="32"/>
          <w:szCs w:val="32"/>
        </w:rPr>
      </w:pPr>
      <w:proofErr w:type="gramStart"/>
      <w:r w:rsidRPr="00E26B84">
        <w:rPr>
          <w:b/>
          <w:sz w:val="32"/>
          <w:szCs w:val="32"/>
        </w:rPr>
        <w:t>that</w:t>
      </w:r>
      <w:proofErr w:type="gramEnd"/>
      <w:r w:rsidR="00190392" w:rsidRPr="00E26B84">
        <w:rPr>
          <w:b/>
          <w:sz w:val="32"/>
          <w:szCs w:val="32"/>
        </w:rPr>
        <w:t xml:space="preserve"> can be assigned</w:t>
      </w:r>
    </w:p>
    <w:p w:rsidR="00190392" w:rsidRPr="00E26B84" w:rsidRDefault="00D43D1C" w:rsidP="00190392">
      <w:pPr>
        <w:jc w:val="center"/>
        <w:rPr>
          <w:b/>
          <w:sz w:val="32"/>
          <w:szCs w:val="32"/>
        </w:rPr>
      </w:pPr>
      <w:proofErr w:type="gramStart"/>
      <w:r w:rsidRPr="00E26B84">
        <w:rPr>
          <w:b/>
          <w:sz w:val="32"/>
          <w:szCs w:val="32"/>
        </w:rPr>
        <w:t>to</w:t>
      </w:r>
      <w:proofErr w:type="gramEnd"/>
      <w:r w:rsidR="00190392" w:rsidRPr="00E26B84">
        <w:rPr>
          <w:b/>
          <w:sz w:val="32"/>
          <w:szCs w:val="32"/>
        </w:rPr>
        <w:t xml:space="preserve"> provide statutory financial reporting audit services</w:t>
      </w:r>
    </w:p>
    <w:p w:rsidR="00FD4E50" w:rsidRPr="00E26B84" w:rsidRDefault="00EF5AFB" w:rsidP="00190392">
      <w:pPr>
        <w:jc w:val="center"/>
        <w:rPr>
          <w:b/>
          <w:sz w:val="32"/>
          <w:szCs w:val="32"/>
        </w:rPr>
      </w:pPr>
      <w:proofErr w:type="gramStart"/>
      <w:r>
        <w:rPr>
          <w:b/>
          <w:sz w:val="32"/>
          <w:szCs w:val="32"/>
        </w:rPr>
        <w:t>of</w:t>
      </w:r>
      <w:proofErr w:type="gramEnd"/>
      <w:r>
        <w:rPr>
          <w:b/>
          <w:sz w:val="32"/>
          <w:szCs w:val="32"/>
        </w:rPr>
        <w:t xml:space="preserve"> </w:t>
      </w:r>
      <w:r w:rsidR="00190392" w:rsidRPr="00E26B84">
        <w:rPr>
          <w:b/>
          <w:sz w:val="32"/>
          <w:szCs w:val="32"/>
        </w:rPr>
        <w:t>P</w:t>
      </w:r>
      <w:r>
        <w:rPr>
          <w:b/>
          <w:sz w:val="32"/>
          <w:szCs w:val="32"/>
        </w:rPr>
        <w:t>IRAEUS BANK</w:t>
      </w:r>
      <w:r w:rsidR="00190392" w:rsidRPr="00E26B84">
        <w:rPr>
          <w:b/>
          <w:sz w:val="32"/>
          <w:szCs w:val="32"/>
        </w:rPr>
        <w:t xml:space="preserve"> ICB</w:t>
      </w:r>
      <w:r>
        <w:rPr>
          <w:b/>
          <w:sz w:val="32"/>
          <w:szCs w:val="32"/>
        </w:rPr>
        <w:t xml:space="preserve"> JSC</w:t>
      </w:r>
      <w:r w:rsidR="00190392" w:rsidRPr="00E26B84">
        <w:rPr>
          <w:b/>
          <w:sz w:val="32"/>
          <w:szCs w:val="32"/>
        </w:rPr>
        <w:t>.</w:t>
      </w:r>
    </w:p>
    <w:p w:rsidR="00FD4E50" w:rsidRPr="00E26B84" w:rsidRDefault="00FD4E50" w:rsidP="00006E60">
      <w:pPr>
        <w:jc w:val="both"/>
        <w:rPr>
          <w:b/>
        </w:rPr>
      </w:pPr>
    </w:p>
    <w:p w:rsidR="00FD4E50" w:rsidRPr="00E26B84" w:rsidRDefault="00FD4E50" w:rsidP="00006E60">
      <w:pPr>
        <w:jc w:val="both"/>
        <w:rPr>
          <w:b/>
        </w:rPr>
      </w:pPr>
    </w:p>
    <w:p w:rsidR="00FD4E50" w:rsidRPr="00E26B84" w:rsidRDefault="00FD4E50" w:rsidP="00006E60">
      <w:pPr>
        <w:jc w:val="both"/>
        <w:rPr>
          <w:b/>
        </w:rPr>
      </w:pPr>
    </w:p>
    <w:p w:rsidR="00FD4E50" w:rsidRPr="00E26B84" w:rsidRDefault="00FD4E50" w:rsidP="00006E60">
      <w:pPr>
        <w:jc w:val="both"/>
        <w:rPr>
          <w:b/>
        </w:rPr>
      </w:pPr>
    </w:p>
    <w:p w:rsidR="00FD4E50" w:rsidRPr="00E26B84" w:rsidRDefault="00FD4E50" w:rsidP="00006E60">
      <w:pPr>
        <w:jc w:val="both"/>
        <w:rPr>
          <w:b/>
        </w:rPr>
      </w:pPr>
    </w:p>
    <w:p w:rsidR="00FD4E50" w:rsidRPr="00E26B84" w:rsidRDefault="00FD4E50" w:rsidP="00006E60">
      <w:pPr>
        <w:jc w:val="both"/>
        <w:rPr>
          <w:b/>
        </w:rPr>
      </w:pPr>
    </w:p>
    <w:p w:rsidR="00FD4E50" w:rsidRPr="00E26B84" w:rsidRDefault="00FD4E50" w:rsidP="00006E60">
      <w:pPr>
        <w:jc w:val="both"/>
        <w:rPr>
          <w:b/>
        </w:rPr>
      </w:pPr>
    </w:p>
    <w:p w:rsidR="00FD4E50" w:rsidRPr="00E26B84" w:rsidRDefault="00FD4E50" w:rsidP="00006E60">
      <w:pPr>
        <w:jc w:val="both"/>
        <w:rPr>
          <w:b/>
        </w:rPr>
      </w:pPr>
    </w:p>
    <w:p w:rsidR="004D2E64" w:rsidRPr="00E26B84" w:rsidRDefault="004D2E64" w:rsidP="00006E60">
      <w:pPr>
        <w:jc w:val="both"/>
        <w:rPr>
          <w:b/>
        </w:rPr>
      </w:pPr>
      <w:r w:rsidRPr="00E26B84">
        <w:rPr>
          <w:b/>
        </w:rPr>
        <w:br w:type="page"/>
      </w:r>
    </w:p>
    <w:p w:rsidR="00964A4F" w:rsidRPr="00E26B84" w:rsidRDefault="00190392" w:rsidP="00190392">
      <w:pPr>
        <w:pStyle w:val="ListParagraph"/>
        <w:numPr>
          <w:ilvl w:val="0"/>
          <w:numId w:val="1"/>
        </w:numPr>
        <w:spacing w:after="0"/>
        <w:jc w:val="both"/>
        <w:rPr>
          <w:b/>
        </w:rPr>
      </w:pPr>
      <w:r w:rsidRPr="00E26B84">
        <w:rPr>
          <w:b/>
        </w:rPr>
        <w:lastRenderedPageBreak/>
        <w:t>General provisions</w:t>
      </w:r>
    </w:p>
    <w:p w:rsidR="00190392" w:rsidRPr="00E26B84" w:rsidRDefault="00190392" w:rsidP="00190392">
      <w:pPr>
        <w:pStyle w:val="ListParagraph"/>
        <w:numPr>
          <w:ilvl w:val="1"/>
          <w:numId w:val="12"/>
        </w:numPr>
        <w:spacing w:after="0"/>
        <w:jc w:val="both"/>
      </w:pPr>
      <w:proofErr w:type="gramStart"/>
      <w:r w:rsidRPr="00E26B84">
        <w:t xml:space="preserve">This </w:t>
      </w:r>
      <w:r w:rsidR="00EF5AFB">
        <w:t>tender p</w:t>
      </w:r>
      <w:r w:rsidRPr="00E26B84">
        <w:t xml:space="preserve">rocedure for the selection of audit firms that </w:t>
      </w:r>
      <w:r w:rsidR="00EF5AFB">
        <w:t>can</w:t>
      </w:r>
      <w:r w:rsidRPr="00E26B84">
        <w:t xml:space="preserve"> be assigned </w:t>
      </w:r>
      <w:r w:rsidR="003F758F">
        <w:t>to provide</w:t>
      </w:r>
      <w:r w:rsidRPr="00E26B84">
        <w:t xml:space="preserve"> </w:t>
      </w:r>
      <w:r w:rsidR="003F758F" w:rsidRPr="003F758F">
        <w:t xml:space="preserve">statutory financial reporting audit services of PIRAEUS BANK ICB JSC </w:t>
      </w:r>
      <w:r w:rsidRPr="00E26B84">
        <w:t xml:space="preserve">(hereinafter referred to as - Procedure) was developed for the implementation of the Law of Ukraine "On Audit of Financial Statements and Auditing Activities" "No.2258-VIII dated 21.12.2017 (hereinafter - the Law on Audit), Resolution of the Board of the National Bank of Ukraine dated August 02, 2018 No. 90 "On approval of the Regulation on the procedure for submission by the </w:t>
      </w:r>
      <w:r w:rsidR="003F758F">
        <w:t>b</w:t>
      </w:r>
      <w:r w:rsidRPr="00E26B84">
        <w:t>ank</w:t>
      </w:r>
      <w:r w:rsidR="003F758F">
        <w:t>s</w:t>
      </w:r>
      <w:r w:rsidRPr="00E26B84">
        <w:t xml:space="preserve"> </w:t>
      </w:r>
      <w:r w:rsidR="003F758F">
        <w:t>to</w:t>
      </w:r>
      <w:r w:rsidRPr="00E26B84">
        <w:t xml:space="preserve"> the National Bank of Ukraine of the audit report </w:t>
      </w:r>
      <w:r w:rsidR="003F758F">
        <w:t xml:space="preserve">based </w:t>
      </w:r>
      <w:r w:rsidRPr="00E26B84">
        <w:t xml:space="preserve">on the results of the annual audit of </w:t>
      </w:r>
      <w:r w:rsidR="003F758F">
        <w:t xml:space="preserve">the </w:t>
      </w:r>
      <w:r w:rsidRPr="00E26B84">
        <w:t>financial statements" and Resolution of the Board of the National Bank of Ukraine dated August 02, 2018 No. 89 "On approval of the Regulation on the procedure for rejection (removal) by the National Bank of Ukraine of an audit firm selected by the bank for external audit. "</w:t>
      </w:r>
      <w:proofErr w:type="gramEnd"/>
    </w:p>
    <w:p w:rsidR="00684B9A" w:rsidRPr="00E26B84" w:rsidRDefault="00684B9A" w:rsidP="00684B9A">
      <w:pPr>
        <w:pStyle w:val="ListParagraph"/>
        <w:numPr>
          <w:ilvl w:val="1"/>
          <w:numId w:val="12"/>
        </w:numPr>
        <w:spacing w:after="0"/>
        <w:jc w:val="both"/>
      </w:pPr>
      <w:proofErr w:type="gramStart"/>
      <w:r w:rsidRPr="00E26B84">
        <w:t xml:space="preserve">This Procedure defines the procedure for holding by PIRAEUS BANK ICB JOINT STOCK COMPANY (hereinafter referred to as the Bank) a </w:t>
      </w:r>
      <w:r w:rsidR="00C11CE7">
        <w:t>tender</w:t>
      </w:r>
      <w:r w:rsidRPr="00E26B84">
        <w:t xml:space="preserve"> </w:t>
      </w:r>
      <w:r w:rsidR="003F758F">
        <w:t xml:space="preserve">procedure </w:t>
      </w:r>
      <w:r w:rsidRPr="00E26B84">
        <w:t xml:space="preserve">by the Bank </w:t>
      </w:r>
      <w:r w:rsidR="003F758F">
        <w:t xml:space="preserve">for selection </w:t>
      </w:r>
      <w:r w:rsidRPr="00E26B84">
        <w:t xml:space="preserve">of audit firms </w:t>
      </w:r>
      <w:r w:rsidR="003F758F">
        <w:t>to provide</w:t>
      </w:r>
      <w:r w:rsidRPr="00E26B84">
        <w:t xml:space="preserve"> </w:t>
      </w:r>
      <w:r w:rsidR="003F758F" w:rsidRPr="003F758F">
        <w:t>statutory financial reporting audit services</w:t>
      </w:r>
      <w:r w:rsidR="003F758F" w:rsidRPr="00E26B84">
        <w:t xml:space="preserve"> </w:t>
      </w:r>
      <w:r w:rsidRPr="00E26B84">
        <w:t xml:space="preserve">(hereinafter referred to as the </w:t>
      </w:r>
      <w:r w:rsidR="00C11CE7">
        <w:t>Tender</w:t>
      </w:r>
      <w:r w:rsidRPr="00E26B84">
        <w:t>) and determines the selection criteria by the Bank for auditing to provide services for the statutory audit of the Bank's financial statements.</w:t>
      </w:r>
      <w:proofErr w:type="gramEnd"/>
    </w:p>
    <w:p w:rsidR="00684B9A" w:rsidRPr="00E26B84" w:rsidRDefault="00684B9A" w:rsidP="00684B9A">
      <w:pPr>
        <w:pStyle w:val="ListParagraph"/>
        <w:numPr>
          <w:ilvl w:val="1"/>
          <w:numId w:val="12"/>
        </w:numPr>
        <w:spacing w:after="0"/>
        <w:jc w:val="both"/>
      </w:pPr>
      <w:r w:rsidRPr="00E26B84">
        <w:t>The Tender Committee of the Bank is responsible for holding the Tender.</w:t>
      </w:r>
    </w:p>
    <w:p w:rsidR="00684B9A" w:rsidRPr="00E26B84" w:rsidRDefault="00684B9A" w:rsidP="00684B9A">
      <w:pPr>
        <w:pStyle w:val="ListParagraph"/>
        <w:numPr>
          <w:ilvl w:val="1"/>
          <w:numId w:val="12"/>
        </w:numPr>
        <w:spacing w:after="0"/>
        <w:jc w:val="both"/>
      </w:pPr>
      <w:r w:rsidRPr="00E26B84">
        <w:t xml:space="preserve">The definitions of terms used in this Procedure </w:t>
      </w:r>
      <w:proofErr w:type="gramStart"/>
      <w:r w:rsidRPr="00E26B84">
        <w:t>are applied</w:t>
      </w:r>
      <w:proofErr w:type="gramEnd"/>
      <w:r w:rsidRPr="00E26B84">
        <w:t xml:space="preserve"> in accordance with the Law</w:t>
      </w:r>
      <w:r w:rsidR="003F758F">
        <w:t xml:space="preserve"> on Audit</w:t>
      </w:r>
      <w:r w:rsidRPr="00E26B84">
        <w:t xml:space="preserve">. The term "public interest entities" </w:t>
      </w:r>
      <w:proofErr w:type="gramStart"/>
      <w:r w:rsidRPr="00E26B84">
        <w:t>is used</w:t>
      </w:r>
      <w:proofErr w:type="gramEnd"/>
      <w:r w:rsidRPr="00E26B84">
        <w:t xml:space="preserve"> in the sense set out in the Law of Ukraine "On Accounting and Financial Reporting in Ukraine".</w:t>
      </w:r>
    </w:p>
    <w:p w:rsidR="004141D4" w:rsidRPr="00E26B84" w:rsidRDefault="004141D4" w:rsidP="00684B9A">
      <w:pPr>
        <w:pStyle w:val="ListParagraph"/>
        <w:numPr>
          <w:ilvl w:val="0"/>
          <w:numId w:val="1"/>
        </w:numPr>
        <w:spacing w:after="0"/>
        <w:jc w:val="both"/>
        <w:rPr>
          <w:b/>
        </w:rPr>
      </w:pPr>
      <w:r w:rsidRPr="00E26B84">
        <w:rPr>
          <w:b/>
        </w:rPr>
        <w:t xml:space="preserve">  </w:t>
      </w:r>
      <w:r w:rsidR="00684B9A" w:rsidRPr="00E26B84">
        <w:rPr>
          <w:b/>
        </w:rPr>
        <w:t xml:space="preserve"> The </w:t>
      </w:r>
      <w:r w:rsidR="00C11CE7">
        <w:rPr>
          <w:b/>
        </w:rPr>
        <w:t>Tender</w:t>
      </w:r>
      <w:r w:rsidR="003F758F">
        <w:rPr>
          <w:b/>
        </w:rPr>
        <w:t xml:space="preserve"> procedure</w:t>
      </w:r>
      <w:r w:rsidR="008C7166">
        <w:rPr>
          <w:b/>
        </w:rPr>
        <w:t>.</w:t>
      </w:r>
    </w:p>
    <w:p w:rsidR="00964A4F" w:rsidRPr="00E26B84" w:rsidRDefault="00D536AD" w:rsidP="00006E60">
      <w:pPr>
        <w:pStyle w:val="ListParagraph"/>
        <w:spacing w:after="0"/>
        <w:ind w:left="1103" w:hanging="394"/>
        <w:jc w:val="both"/>
      </w:pPr>
      <w:r w:rsidRPr="00E26B84">
        <w:t>2.1</w:t>
      </w:r>
      <w:r w:rsidR="00E26B84">
        <w:t xml:space="preserve">. </w:t>
      </w:r>
      <w:r w:rsidR="00684B9A" w:rsidRPr="00E26B84">
        <w:t xml:space="preserve">The basis for announcing the </w:t>
      </w:r>
      <w:r w:rsidR="00C11CE7">
        <w:t>Tender</w:t>
      </w:r>
      <w:r w:rsidR="00684B9A" w:rsidRPr="00E26B84">
        <w:t xml:space="preserve"> is the decision of the Supervisory Board</w:t>
      </w:r>
      <w:r w:rsidR="003F758F">
        <w:rPr>
          <w:lang w:val="uk-UA"/>
        </w:rPr>
        <w:t xml:space="preserve"> </w:t>
      </w:r>
      <w:r w:rsidR="003F758F">
        <w:t>of the Bank</w:t>
      </w:r>
      <w:r w:rsidR="00684B9A" w:rsidRPr="00E26B84">
        <w:t>.</w:t>
      </w:r>
    </w:p>
    <w:p w:rsidR="00D536AD" w:rsidRPr="00E26B84" w:rsidRDefault="00D536AD" w:rsidP="00006E60">
      <w:pPr>
        <w:pStyle w:val="ListParagraph"/>
        <w:spacing w:after="0"/>
        <w:ind w:left="1103" w:hanging="394"/>
        <w:jc w:val="both"/>
      </w:pPr>
      <w:r w:rsidRPr="00E26B84">
        <w:t xml:space="preserve">2.2. </w:t>
      </w:r>
      <w:r w:rsidR="00684B9A" w:rsidRPr="00E26B84">
        <w:t xml:space="preserve">The </w:t>
      </w:r>
      <w:r w:rsidR="003F758F">
        <w:t>T</w:t>
      </w:r>
      <w:r w:rsidR="00C11CE7">
        <w:t>ender</w:t>
      </w:r>
      <w:r w:rsidR="00684B9A" w:rsidRPr="00E26B84">
        <w:t xml:space="preserve"> </w:t>
      </w:r>
      <w:proofErr w:type="gramStart"/>
      <w:r w:rsidR="00684B9A" w:rsidRPr="00E26B84">
        <w:t>is conducted</w:t>
      </w:r>
      <w:proofErr w:type="gramEnd"/>
      <w:r w:rsidR="00684B9A" w:rsidRPr="00E26B84">
        <w:t xml:space="preserve"> in the following stages:</w:t>
      </w:r>
    </w:p>
    <w:p w:rsidR="00684B9A" w:rsidRPr="00E26B84" w:rsidRDefault="00684B9A" w:rsidP="00684B9A">
      <w:pPr>
        <w:pStyle w:val="ListParagraph"/>
        <w:spacing w:after="0"/>
        <w:ind w:left="1103"/>
        <w:jc w:val="both"/>
      </w:pPr>
      <w:r w:rsidRPr="00E26B84">
        <w:t xml:space="preserve">1) </w:t>
      </w:r>
      <w:proofErr w:type="gramStart"/>
      <w:r w:rsidR="003F758F">
        <w:t>taking</w:t>
      </w:r>
      <w:proofErr w:type="gramEnd"/>
      <w:r w:rsidR="003F758F">
        <w:t xml:space="preserve"> </w:t>
      </w:r>
      <w:r w:rsidRPr="00E26B84">
        <w:t>deci</w:t>
      </w:r>
      <w:r w:rsidR="003F758F">
        <w:t>sion o</w:t>
      </w:r>
      <w:r w:rsidRPr="00E26B84">
        <w:t xml:space="preserve">n the announcement of the </w:t>
      </w:r>
      <w:r w:rsidR="00C11CE7">
        <w:t>Tender</w:t>
      </w:r>
      <w:r w:rsidR="003F758F">
        <w:t xml:space="preserve"> and</w:t>
      </w:r>
      <w:r w:rsidRPr="00E26B84">
        <w:t xml:space="preserve"> approving the text of the announcement of the </w:t>
      </w:r>
      <w:r w:rsidR="00C11CE7">
        <w:t>Tender</w:t>
      </w:r>
      <w:r w:rsidRPr="00E26B84">
        <w:t>;</w:t>
      </w:r>
    </w:p>
    <w:p w:rsidR="00684B9A" w:rsidRPr="00E26B84" w:rsidRDefault="00684B9A" w:rsidP="00684B9A">
      <w:pPr>
        <w:pStyle w:val="ListParagraph"/>
        <w:spacing w:after="0"/>
        <w:ind w:left="1103"/>
        <w:jc w:val="both"/>
      </w:pPr>
      <w:r w:rsidRPr="00E26B84">
        <w:t xml:space="preserve">2) </w:t>
      </w:r>
      <w:proofErr w:type="gramStart"/>
      <w:r w:rsidRPr="00E26B84">
        <w:t>publication</w:t>
      </w:r>
      <w:proofErr w:type="gramEnd"/>
      <w:r w:rsidRPr="00E26B84">
        <w:t xml:space="preserve"> of the announcement of the </w:t>
      </w:r>
      <w:r w:rsidR="00C11CE7">
        <w:t>Tender</w:t>
      </w:r>
      <w:r w:rsidRPr="00E26B84">
        <w:t xml:space="preserve"> on the Bank's </w:t>
      </w:r>
      <w:r w:rsidR="003F758F">
        <w:t>official</w:t>
      </w:r>
      <w:r w:rsidRPr="00E26B84">
        <w:t xml:space="preserve"> website;</w:t>
      </w:r>
    </w:p>
    <w:p w:rsidR="00684B9A" w:rsidRPr="00E26B84" w:rsidRDefault="00684B9A" w:rsidP="00684B9A">
      <w:pPr>
        <w:pStyle w:val="ListParagraph"/>
        <w:spacing w:after="0"/>
        <w:ind w:left="1103"/>
        <w:jc w:val="both"/>
      </w:pPr>
      <w:r w:rsidRPr="00E26B84">
        <w:t xml:space="preserve">3) </w:t>
      </w:r>
      <w:proofErr w:type="gramStart"/>
      <w:r w:rsidRPr="00E26B84">
        <w:t>acceptance</w:t>
      </w:r>
      <w:proofErr w:type="gramEnd"/>
      <w:r w:rsidRPr="00E26B84">
        <w:t xml:space="preserve"> of documents from audit firms wishing to participate in the </w:t>
      </w:r>
      <w:r w:rsidR="00C11CE7">
        <w:t>Tender</w:t>
      </w:r>
      <w:r w:rsidRPr="00E26B84">
        <w:t>;</w:t>
      </w:r>
    </w:p>
    <w:p w:rsidR="00684B9A" w:rsidRPr="00E26B84" w:rsidRDefault="00684B9A" w:rsidP="00684B9A">
      <w:pPr>
        <w:pStyle w:val="ListParagraph"/>
        <w:spacing w:after="0"/>
        <w:ind w:left="1103"/>
        <w:jc w:val="both"/>
      </w:pPr>
      <w:r w:rsidRPr="00E26B84">
        <w:t xml:space="preserve">4) </w:t>
      </w:r>
      <w:proofErr w:type="gramStart"/>
      <w:r w:rsidRPr="00E26B84">
        <w:t>verification</w:t>
      </w:r>
      <w:proofErr w:type="gramEnd"/>
      <w:r w:rsidRPr="00E26B84">
        <w:t xml:space="preserve"> of the submitted documents and audit firms for compliance with the established requirements and criteria</w:t>
      </w:r>
      <w:r w:rsidR="003F758F">
        <w:t xml:space="preserve"> of the Bank</w:t>
      </w:r>
      <w:r w:rsidRPr="00E26B84">
        <w:t>;</w:t>
      </w:r>
    </w:p>
    <w:p w:rsidR="00684B9A" w:rsidRPr="00E26B84" w:rsidRDefault="00684B9A" w:rsidP="00684B9A">
      <w:pPr>
        <w:pStyle w:val="ListParagraph"/>
        <w:spacing w:after="0"/>
        <w:ind w:left="1103"/>
        <w:jc w:val="both"/>
      </w:pPr>
      <w:r w:rsidRPr="00E26B84">
        <w:t xml:space="preserve">5) </w:t>
      </w:r>
      <w:proofErr w:type="gramStart"/>
      <w:r w:rsidRPr="00E26B84">
        <w:t>summarizing</w:t>
      </w:r>
      <w:proofErr w:type="gramEnd"/>
      <w:r w:rsidRPr="00E26B84">
        <w:t xml:space="preserve"> the results of the </w:t>
      </w:r>
      <w:r w:rsidR="00C11CE7">
        <w:t>Tender</w:t>
      </w:r>
      <w:r w:rsidRPr="00E26B84">
        <w:t xml:space="preserve"> and determining the winners in the amount necessary to submit recommendations to the authorized body of the Bank;</w:t>
      </w:r>
    </w:p>
    <w:p w:rsidR="00684B9A" w:rsidRPr="00E26B84" w:rsidRDefault="00684B9A" w:rsidP="00684B9A">
      <w:pPr>
        <w:pStyle w:val="ListParagraph"/>
        <w:spacing w:after="0"/>
        <w:ind w:left="1103"/>
        <w:jc w:val="both"/>
      </w:pPr>
      <w:r w:rsidRPr="00E26B84">
        <w:t xml:space="preserve">6) </w:t>
      </w:r>
      <w:proofErr w:type="gramStart"/>
      <w:r w:rsidRPr="00E26B84">
        <w:t>notification</w:t>
      </w:r>
      <w:proofErr w:type="gramEnd"/>
      <w:r w:rsidRPr="00E26B84">
        <w:t xml:space="preserve"> of audit firms about the results of the </w:t>
      </w:r>
      <w:r w:rsidR="00C11CE7">
        <w:t>Tender</w:t>
      </w:r>
      <w:r w:rsidRPr="00E26B84">
        <w:t>.</w:t>
      </w:r>
    </w:p>
    <w:p w:rsidR="00D536AD" w:rsidRPr="00E26B84" w:rsidRDefault="00D536AD" w:rsidP="00006E60">
      <w:pPr>
        <w:pStyle w:val="ListParagraph"/>
        <w:spacing w:after="0"/>
        <w:ind w:left="1103" w:hanging="394"/>
        <w:jc w:val="both"/>
      </w:pPr>
      <w:r w:rsidRPr="00E26B84">
        <w:t xml:space="preserve">2.3. </w:t>
      </w:r>
      <w:r w:rsidR="00684B9A" w:rsidRPr="00E26B84">
        <w:t xml:space="preserve">Audit firms that have expressed a desire to participate in the </w:t>
      </w:r>
      <w:r w:rsidR="00C11CE7">
        <w:t>Tender</w:t>
      </w:r>
      <w:r w:rsidR="00684B9A" w:rsidRPr="00E26B84">
        <w:t xml:space="preserve"> can obtain on the Bank's </w:t>
      </w:r>
      <w:r w:rsidR="00C46650">
        <w:t xml:space="preserve">official </w:t>
      </w:r>
      <w:r w:rsidR="00684B9A" w:rsidRPr="00E26B84">
        <w:t xml:space="preserve">website at: http://piraeusbank.ua the tender documentation, which discloses information about the Bank's activities and contains tasks </w:t>
      </w:r>
      <w:r w:rsidR="00C46650">
        <w:t xml:space="preserve">for </w:t>
      </w:r>
      <w:r w:rsidR="00684B9A" w:rsidRPr="00E26B84">
        <w:t>the audit of financial statements.</w:t>
      </w:r>
    </w:p>
    <w:p w:rsidR="00D536AD" w:rsidRPr="00E26B84" w:rsidRDefault="00D536AD" w:rsidP="00684B9A">
      <w:pPr>
        <w:pStyle w:val="ListParagraph"/>
        <w:spacing w:after="0"/>
        <w:ind w:left="1103" w:hanging="394"/>
        <w:jc w:val="both"/>
      </w:pPr>
      <w:r w:rsidRPr="00E26B84">
        <w:t xml:space="preserve">2.4. </w:t>
      </w:r>
      <w:r w:rsidR="00684B9A" w:rsidRPr="00E26B84">
        <w:t>The list of doc</w:t>
      </w:r>
      <w:r w:rsidR="00C11CE7">
        <w:t xml:space="preserve">uments for participation in the Tender </w:t>
      </w:r>
      <w:r w:rsidR="00684B9A" w:rsidRPr="00E26B84">
        <w:t xml:space="preserve">and the way of their submission by the audit firms </w:t>
      </w:r>
      <w:proofErr w:type="gramStart"/>
      <w:r w:rsidR="00684B9A" w:rsidRPr="00E26B84">
        <w:t>are determined</w:t>
      </w:r>
      <w:proofErr w:type="gramEnd"/>
      <w:r w:rsidR="00684B9A" w:rsidRPr="00E26B84">
        <w:t xml:space="preserve"> by the Supervisory Board </w:t>
      </w:r>
      <w:r w:rsidR="00C46650">
        <w:t xml:space="preserve">of the bank </w:t>
      </w:r>
      <w:r w:rsidR="00684B9A" w:rsidRPr="00E26B84">
        <w:t xml:space="preserve">and are indicated in the announcement of the </w:t>
      </w:r>
      <w:r w:rsidR="00C46650">
        <w:t>T</w:t>
      </w:r>
      <w:r w:rsidR="00C11CE7">
        <w:t>ender</w:t>
      </w:r>
      <w:r w:rsidR="00684B9A" w:rsidRPr="00E26B84">
        <w:t>.</w:t>
      </w:r>
    </w:p>
    <w:p w:rsidR="00D536AD" w:rsidRPr="00E26B84" w:rsidRDefault="00D536AD" w:rsidP="00006E60">
      <w:pPr>
        <w:pStyle w:val="ListParagraph"/>
        <w:spacing w:after="0"/>
        <w:ind w:left="1103" w:hanging="394"/>
        <w:jc w:val="both"/>
      </w:pPr>
      <w:proofErr w:type="gramStart"/>
      <w:r w:rsidRPr="00E26B84">
        <w:t xml:space="preserve">2.5. </w:t>
      </w:r>
      <w:r w:rsidR="00684B9A" w:rsidRPr="00E26B84">
        <w:t>Notification o</w:t>
      </w:r>
      <w:r w:rsidR="00C46650">
        <w:t>n</w:t>
      </w:r>
      <w:r w:rsidR="00684B9A" w:rsidRPr="00E26B84">
        <w:t xml:space="preserve"> the results of the </w:t>
      </w:r>
      <w:r w:rsidR="00C11CE7">
        <w:t>Tender</w:t>
      </w:r>
      <w:r w:rsidR="00684B9A" w:rsidRPr="00E26B84">
        <w:t xml:space="preserve"> </w:t>
      </w:r>
      <w:r w:rsidR="00C46650">
        <w:t>to</w:t>
      </w:r>
      <w:r w:rsidR="00684B9A" w:rsidRPr="00E26B84">
        <w:t xml:space="preserve"> the audit firm may be made by one of the available methods selected by such entity</w:t>
      </w:r>
      <w:proofErr w:type="gramEnd"/>
      <w:r w:rsidR="00684B9A" w:rsidRPr="00E26B84">
        <w:t xml:space="preserve">, including in writing, </w:t>
      </w:r>
      <w:r w:rsidR="00C46650">
        <w:t>in</w:t>
      </w:r>
      <w:r w:rsidR="00684B9A" w:rsidRPr="00E26B84">
        <w:t xml:space="preserve"> electronic </w:t>
      </w:r>
      <w:r w:rsidR="00C46650">
        <w:t>form</w:t>
      </w:r>
      <w:r w:rsidR="00055D1A">
        <w:rPr>
          <w:lang w:val="uk-UA"/>
        </w:rPr>
        <w:t>.</w:t>
      </w:r>
    </w:p>
    <w:p w:rsidR="00D536AD" w:rsidRPr="00E26B84" w:rsidRDefault="00D536AD" w:rsidP="00006E60">
      <w:pPr>
        <w:pStyle w:val="ListParagraph"/>
        <w:spacing w:after="0"/>
        <w:ind w:left="1103" w:hanging="394"/>
        <w:jc w:val="both"/>
      </w:pPr>
      <w:r w:rsidRPr="00E26B84">
        <w:t xml:space="preserve">2.6. </w:t>
      </w:r>
      <w:r w:rsidR="00684B9A" w:rsidRPr="00E26B84">
        <w:t xml:space="preserve">The Tender Committee of the Bank evaluates the </w:t>
      </w:r>
      <w:r w:rsidR="008C7166" w:rsidRPr="00E26B84">
        <w:t>competitive</w:t>
      </w:r>
      <w:r w:rsidR="008C7166">
        <w:t xml:space="preserve"> offers</w:t>
      </w:r>
      <w:r w:rsidR="00684B9A" w:rsidRPr="00E26B84">
        <w:t xml:space="preserve"> submitted by the audit firms according to the established selection criteria and makes a report on the conclusions of the selection procedure</w:t>
      </w:r>
      <w:r w:rsidR="00C46650">
        <w:t xml:space="preserve"> in the free format</w:t>
      </w:r>
      <w:r w:rsidR="00684B9A" w:rsidRPr="00E26B84">
        <w:t xml:space="preserve">. The results of the quality control of the services provided by the auditing firms participating in the </w:t>
      </w:r>
      <w:r w:rsidR="00C11CE7">
        <w:t>Tender</w:t>
      </w:r>
      <w:r w:rsidR="00C46650">
        <w:t xml:space="preserve"> </w:t>
      </w:r>
      <w:proofErr w:type="gramStart"/>
      <w:r w:rsidR="00684B9A" w:rsidRPr="00E26B84">
        <w:t>are taken</w:t>
      </w:r>
      <w:proofErr w:type="gramEnd"/>
      <w:r w:rsidR="00684B9A" w:rsidRPr="00E26B84">
        <w:t xml:space="preserve"> into account. The total term for the consideration and evaluation of </w:t>
      </w:r>
      <w:r w:rsidR="008C7166" w:rsidRPr="00E26B84">
        <w:t>the</w:t>
      </w:r>
      <w:r w:rsidR="008C7166">
        <w:t xml:space="preserve"> offers</w:t>
      </w:r>
      <w:r w:rsidR="00684B9A" w:rsidRPr="00E26B84">
        <w:t xml:space="preserve"> and the submission of a report on the conclusions of the selection procedure shall not exceed 10 (ten) working days</w:t>
      </w:r>
      <w:r w:rsidR="00055D1A">
        <w:rPr>
          <w:lang w:val="uk-UA"/>
        </w:rPr>
        <w:t xml:space="preserve"> </w:t>
      </w:r>
      <w:r w:rsidR="00055D1A">
        <w:t>after last day for providing tender proposals</w:t>
      </w:r>
      <w:r w:rsidR="00684B9A" w:rsidRPr="00E26B84">
        <w:t>.</w:t>
      </w:r>
    </w:p>
    <w:p w:rsidR="00C7343B" w:rsidRPr="00E26B84" w:rsidRDefault="00C7343B" w:rsidP="00684B9A">
      <w:pPr>
        <w:pStyle w:val="ListParagraph"/>
        <w:spacing w:after="0"/>
        <w:ind w:left="1103" w:hanging="394"/>
        <w:jc w:val="both"/>
      </w:pPr>
      <w:r w:rsidRPr="00E26B84">
        <w:lastRenderedPageBreak/>
        <w:t xml:space="preserve">2.7. </w:t>
      </w:r>
      <w:r w:rsidR="00684B9A" w:rsidRPr="00E26B84">
        <w:t xml:space="preserve">Based on the results of the </w:t>
      </w:r>
      <w:r w:rsidR="00B051E9">
        <w:t>T</w:t>
      </w:r>
      <w:r w:rsidR="00684B9A" w:rsidRPr="00E26B84">
        <w:t>ender, the Bank</w:t>
      </w:r>
      <w:r w:rsidR="00B051E9">
        <w:t>’s</w:t>
      </w:r>
      <w:r w:rsidR="00684B9A" w:rsidRPr="00E26B84">
        <w:t xml:space="preserve"> Tender Committee makes </w:t>
      </w:r>
      <w:r w:rsidR="00B051E9" w:rsidRPr="00B051E9">
        <w:t>justified</w:t>
      </w:r>
      <w:r w:rsidR="00684B9A" w:rsidRPr="00E26B84">
        <w:t xml:space="preserve"> recommendations for the appointment of an audit firm to provide statutory audit services, which must include at least two proposals for the selection of audit firms to </w:t>
      </w:r>
      <w:r w:rsidR="00B051E9">
        <w:t>provide</w:t>
      </w:r>
      <w:r w:rsidR="00684B9A" w:rsidRPr="00E26B84">
        <w:t xml:space="preserve"> a statutory audit of the Bank's financial statements. </w:t>
      </w:r>
      <w:r w:rsidR="00B051E9">
        <w:t>According to the later prepared recommendations for t</w:t>
      </w:r>
      <w:r w:rsidR="00684B9A" w:rsidRPr="00E26B84">
        <w:t xml:space="preserve">he Supervisory Board </w:t>
      </w:r>
      <w:r w:rsidR="00B051E9">
        <w:t xml:space="preserve">of the Bank </w:t>
      </w:r>
      <w:r w:rsidR="00684B9A" w:rsidRPr="00E26B84">
        <w:t xml:space="preserve">on the appointment of an audit firm to provide statutory financial reporting audit services, which should include Tender </w:t>
      </w:r>
      <w:r w:rsidR="00B051E9">
        <w:t xml:space="preserve">Committee </w:t>
      </w:r>
      <w:r w:rsidR="00684B9A" w:rsidRPr="00E26B84">
        <w:t>recommendations, as well as sound recommendations for the choice of one audit firm.</w:t>
      </w:r>
    </w:p>
    <w:p w:rsidR="00C7343B" w:rsidRPr="00E26B84" w:rsidRDefault="00C7343B" w:rsidP="00684B9A">
      <w:pPr>
        <w:pStyle w:val="ListParagraph"/>
        <w:spacing w:after="0"/>
        <w:ind w:left="1103" w:hanging="394"/>
        <w:jc w:val="both"/>
      </w:pPr>
      <w:r w:rsidRPr="00E26B84">
        <w:t xml:space="preserve">2.8. </w:t>
      </w:r>
      <w:r w:rsidR="00684B9A" w:rsidRPr="00E26B84">
        <w:t>The Supervisory Board</w:t>
      </w:r>
      <w:r w:rsidR="00B051E9">
        <w:t xml:space="preserve"> of the Bank</w:t>
      </w:r>
      <w:r w:rsidR="00684B9A" w:rsidRPr="00E26B84">
        <w:t xml:space="preserve"> </w:t>
      </w:r>
      <w:r w:rsidR="00B051E9">
        <w:t xml:space="preserve">appoints the </w:t>
      </w:r>
      <w:r w:rsidR="00B051E9" w:rsidRPr="00E26B84">
        <w:t xml:space="preserve">Audit Firm </w:t>
      </w:r>
      <w:r w:rsidR="00684B9A" w:rsidRPr="00E26B84">
        <w:t>to provide statutory audit services to the Bank's financial statements.</w:t>
      </w:r>
    </w:p>
    <w:p w:rsidR="00684B9A" w:rsidRPr="00E26B84" w:rsidRDefault="00C7343B" w:rsidP="00684B9A">
      <w:pPr>
        <w:pStyle w:val="ListParagraph"/>
        <w:spacing w:after="0"/>
        <w:ind w:left="1103" w:hanging="394"/>
        <w:jc w:val="both"/>
      </w:pPr>
      <w:r w:rsidRPr="00E26B84">
        <w:t xml:space="preserve">2.9. </w:t>
      </w:r>
      <w:r w:rsidR="00684B9A" w:rsidRPr="00E26B84">
        <w:t xml:space="preserve">The Bank may cancel the </w:t>
      </w:r>
      <w:r w:rsidR="00C11CE7">
        <w:t>tender</w:t>
      </w:r>
      <w:r w:rsidR="00684B9A" w:rsidRPr="00E26B84">
        <w:t xml:space="preserve"> at any stage or declare it a failure, on the following grounds:</w:t>
      </w:r>
    </w:p>
    <w:p w:rsidR="00684B9A" w:rsidRPr="00E26B84" w:rsidRDefault="00684B9A" w:rsidP="00684B9A">
      <w:pPr>
        <w:pStyle w:val="ListParagraph"/>
        <w:spacing w:after="0"/>
        <w:ind w:left="1103"/>
        <w:jc w:val="both"/>
      </w:pPr>
      <w:r w:rsidRPr="00E26B84">
        <w:t xml:space="preserve">- </w:t>
      </w:r>
      <w:proofErr w:type="gramStart"/>
      <w:r w:rsidRPr="00E26B84">
        <w:t>rejection</w:t>
      </w:r>
      <w:proofErr w:type="gramEnd"/>
      <w:r w:rsidRPr="00E26B84">
        <w:t xml:space="preserve"> of all </w:t>
      </w:r>
      <w:r w:rsidR="00A46A16" w:rsidRPr="00E26B84">
        <w:t>offers</w:t>
      </w:r>
      <w:r w:rsidRPr="00E26B84">
        <w:t>;</w:t>
      </w:r>
    </w:p>
    <w:p w:rsidR="00C7343B" w:rsidRDefault="00684B9A" w:rsidP="00684B9A">
      <w:pPr>
        <w:pStyle w:val="ListParagraph"/>
        <w:spacing w:after="0"/>
        <w:ind w:left="1103"/>
        <w:jc w:val="both"/>
      </w:pPr>
      <w:r w:rsidRPr="00E26B84">
        <w:t xml:space="preserve">- </w:t>
      </w:r>
      <w:proofErr w:type="gramStart"/>
      <w:r w:rsidRPr="00E26B84">
        <w:t>submission</w:t>
      </w:r>
      <w:proofErr w:type="gramEnd"/>
      <w:r w:rsidRPr="00E26B84">
        <w:t xml:space="preserve"> of less than two competitive</w:t>
      </w:r>
      <w:r w:rsidR="00B051E9">
        <w:t xml:space="preserve"> </w:t>
      </w:r>
      <w:r w:rsidR="00A46A16">
        <w:t>offers</w:t>
      </w:r>
      <w:r w:rsidRPr="00E26B84">
        <w:t>.</w:t>
      </w:r>
    </w:p>
    <w:p w:rsidR="00B051E9" w:rsidRPr="00E26B84" w:rsidRDefault="00B051E9" w:rsidP="00684B9A">
      <w:pPr>
        <w:pStyle w:val="ListParagraph"/>
        <w:spacing w:after="0"/>
        <w:ind w:left="1103"/>
        <w:jc w:val="both"/>
      </w:pPr>
    </w:p>
    <w:p w:rsidR="00930DBF" w:rsidRPr="00E26B84" w:rsidRDefault="00D43D1C" w:rsidP="00D43D1C">
      <w:pPr>
        <w:pStyle w:val="ListParagraph"/>
        <w:numPr>
          <w:ilvl w:val="0"/>
          <w:numId w:val="1"/>
        </w:numPr>
        <w:spacing w:after="0"/>
        <w:jc w:val="both"/>
        <w:rPr>
          <w:b/>
        </w:rPr>
      </w:pPr>
      <w:r w:rsidRPr="00E26B84">
        <w:rPr>
          <w:b/>
        </w:rPr>
        <w:t>Criteria for the selection of an Audit Firm to provide a statutory audit of the Bank's financial statements.</w:t>
      </w:r>
    </w:p>
    <w:p w:rsidR="00CC35AD" w:rsidRPr="00E26B84" w:rsidRDefault="00057F39" w:rsidP="00006E60">
      <w:pPr>
        <w:tabs>
          <w:tab w:val="left" w:pos="1276"/>
        </w:tabs>
        <w:spacing w:after="0"/>
        <w:ind w:left="1134" w:hanging="425"/>
        <w:jc w:val="both"/>
      </w:pPr>
      <w:r w:rsidRPr="00E26B84">
        <w:t xml:space="preserve">3.1. </w:t>
      </w:r>
      <w:r w:rsidR="007C18CD">
        <w:t>In t</w:t>
      </w:r>
      <w:r w:rsidR="00915DE2" w:rsidRPr="00E26B84">
        <w:t xml:space="preserve">he </w:t>
      </w:r>
      <w:r w:rsidR="007C18CD">
        <w:t>T</w:t>
      </w:r>
      <w:r w:rsidR="00C11CE7">
        <w:t>ender</w:t>
      </w:r>
      <w:r w:rsidR="00915DE2" w:rsidRPr="00E26B84">
        <w:t xml:space="preserve"> may </w:t>
      </w:r>
      <w:r w:rsidR="007C18CD">
        <w:t>participate</w:t>
      </w:r>
      <w:r w:rsidR="00915DE2" w:rsidRPr="00E26B84">
        <w:t xml:space="preserve"> audit firms that meet the requirements set out in the Law</w:t>
      </w:r>
      <w:r w:rsidR="007C18CD">
        <w:t xml:space="preserve"> on Audit</w:t>
      </w:r>
      <w:r w:rsidR="00915DE2" w:rsidRPr="00E26B84">
        <w:t xml:space="preserve"> and additional criteria of the Bank, </w:t>
      </w:r>
      <w:proofErr w:type="gramStart"/>
      <w:r w:rsidR="00915DE2" w:rsidRPr="00E26B84">
        <w:t>namely:</w:t>
      </w:r>
      <w:proofErr w:type="gramEnd"/>
    </w:p>
    <w:p w:rsidR="00C11CE7" w:rsidRDefault="00915DE2" w:rsidP="00915DE2">
      <w:pPr>
        <w:pStyle w:val="ListParagraph"/>
        <w:numPr>
          <w:ilvl w:val="0"/>
          <w:numId w:val="13"/>
        </w:numPr>
        <w:spacing w:after="0"/>
        <w:ind w:left="1134" w:hanging="283"/>
        <w:jc w:val="both"/>
      </w:pPr>
      <w:r w:rsidRPr="00E26B84">
        <w:t xml:space="preserve">The audit firm is included in the relevant section of the Register of Auditors and Audit Entities "Audit Entities entitled to </w:t>
      </w:r>
      <w:r w:rsidR="007C18CD">
        <w:t>Statutory</w:t>
      </w:r>
      <w:r w:rsidRPr="00E26B84">
        <w:t xml:space="preserve"> Audit </w:t>
      </w:r>
      <w:r w:rsidR="007C18CD">
        <w:t xml:space="preserve">of </w:t>
      </w:r>
      <w:r w:rsidRPr="00E26B84">
        <w:t>the Financial Reporting of Companies of Public Interest" and whose activities comply with the requirements of the Law</w:t>
      </w:r>
      <w:r w:rsidR="007C18CD">
        <w:t xml:space="preserve"> on Audit</w:t>
      </w:r>
      <w:r w:rsidRPr="00E26B84">
        <w:t>;</w:t>
      </w:r>
    </w:p>
    <w:p w:rsidR="00915DE2" w:rsidRPr="00E26B84" w:rsidRDefault="00915DE2" w:rsidP="00915DE2">
      <w:pPr>
        <w:pStyle w:val="ListParagraph"/>
        <w:numPr>
          <w:ilvl w:val="0"/>
          <w:numId w:val="13"/>
        </w:numPr>
        <w:spacing w:after="0"/>
        <w:ind w:left="1134" w:hanging="283"/>
        <w:jc w:val="both"/>
      </w:pPr>
      <w:r w:rsidRPr="00E26B84">
        <w:t xml:space="preserve">Experience of audit </w:t>
      </w:r>
      <w:r w:rsidR="007C18CD">
        <w:t>firm</w:t>
      </w:r>
      <w:r w:rsidRPr="00E26B84">
        <w:t xml:space="preserve"> in the field of audit of financial statements of banks in the Ukrainian market.</w:t>
      </w:r>
    </w:p>
    <w:p w:rsidR="00915DE2" w:rsidRPr="00E26B84" w:rsidRDefault="00915DE2" w:rsidP="00915DE2">
      <w:pPr>
        <w:pStyle w:val="ListParagraph"/>
        <w:numPr>
          <w:ilvl w:val="0"/>
          <w:numId w:val="13"/>
        </w:numPr>
        <w:spacing w:after="0"/>
        <w:ind w:left="1134" w:hanging="283"/>
        <w:jc w:val="both"/>
      </w:pPr>
      <w:r w:rsidRPr="00E26B84">
        <w:t>Professional experience of auditors, the presence of valid certificates of professional organizations from auditors, which confirm the high level of knowledge of the International Financial Reporting Standards.</w:t>
      </w:r>
    </w:p>
    <w:p w:rsidR="00915DE2" w:rsidRPr="00E26B84" w:rsidRDefault="00915DE2" w:rsidP="00915DE2">
      <w:pPr>
        <w:pStyle w:val="ListParagraph"/>
        <w:numPr>
          <w:ilvl w:val="0"/>
          <w:numId w:val="13"/>
        </w:numPr>
        <w:spacing w:after="0"/>
        <w:ind w:left="1134" w:hanging="283"/>
        <w:jc w:val="both"/>
      </w:pPr>
      <w:r w:rsidRPr="00E26B84">
        <w:t xml:space="preserve">Good reputation of the </w:t>
      </w:r>
      <w:r w:rsidR="00055D1A">
        <w:t>firm</w:t>
      </w:r>
      <w:r w:rsidRPr="00E26B84">
        <w:t>, absence of facts of violation of the legislation of Ukraine, International standards of audit</w:t>
      </w:r>
      <w:r w:rsidR="007C18CD">
        <w:t xml:space="preserve"> </w:t>
      </w:r>
      <w:r w:rsidRPr="00E26B84">
        <w:t>or professional ethics of auditors.</w:t>
      </w:r>
    </w:p>
    <w:p w:rsidR="00915DE2" w:rsidRPr="00E26B84" w:rsidRDefault="00915DE2" w:rsidP="00915DE2">
      <w:pPr>
        <w:pStyle w:val="ListParagraph"/>
        <w:numPr>
          <w:ilvl w:val="0"/>
          <w:numId w:val="13"/>
        </w:numPr>
        <w:spacing w:after="0"/>
        <w:ind w:left="1134" w:hanging="283"/>
        <w:jc w:val="both"/>
      </w:pPr>
      <w:r w:rsidRPr="00E26B84">
        <w:t>No conflict of interest, which may adversely affect the auditor's objectivity.</w:t>
      </w:r>
    </w:p>
    <w:p w:rsidR="00915DE2" w:rsidRPr="00E26B84" w:rsidRDefault="00915DE2" w:rsidP="00915DE2">
      <w:pPr>
        <w:pStyle w:val="ListParagraph"/>
        <w:numPr>
          <w:ilvl w:val="0"/>
          <w:numId w:val="13"/>
        </w:numPr>
        <w:spacing w:after="0"/>
        <w:ind w:left="1134" w:hanging="283"/>
        <w:jc w:val="both"/>
      </w:pPr>
      <w:r w:rsidRPr="00E26B84">
        <w:t xml:space="preserve">For the previous annual reporting period, the amount of remuneration from each of the public interest entities that were provided with the statutory audit of </w:t>
      </w:r>
      <w:r w:rsidR="007C18CD">
        <w:t xml:space="preserve">the </w:t>
      </w:r>
      <w:r w:rsidRPr="00E26B84">
        <w:t>financial statements during that period did not exceed 15% of the entity's total revenue from the audit services;</w:t>
      </w:r>
    </w:p>
    <w:p w:rsidR="00915DE2" w:rsidRPr="00E26B84" w:rsidRDefault="00915DE2" w:rsidP="00915DE2">
      <w:pPr>
        <w:pStyle w:val="ListParagraph"/>
        <w:numPr>
          <w:ilvl w:val="0"/>
          <w:numId w:val="13"/>
        </w:numPr>
        <w:spacing w:after="0"/>
        <w:ind w:left="1134" w:hanging="283"/>
        <w:jc w:val="both"/>
      </w:pPr>
      <w:r w:rsidRPr="00E26B84">
        <w:t xml:space="preserve">The audit firm has no restrictions related to the length of time it has provided </w:t>
      </w:r>
      <w:r w:rsidR="007C18CD">
        <w:t xml:space="preserve">services to </w:t>
      </w:r>
      <w:r w:rsidRPr="00E26B84">
        <w:t>the Bank;</w:t>
      </w:r>
    </w:p>
    <w:p w:rsidR="00A46A16" w:rsidRDefault="00915DE2" w:rsidP="00A46A16">
      <w:pPr>
        <w:pStyle w:val="ListParagraph"/>
        <w:numPr>
          <w:ilvl w:val="0"/>
          <w:numId w:val="13"/>
        </w:numPr>
        <w:spacing w:after="0"/>
        <w:ind w:left="1134" w:hanging="283"/>
        <w:jc w:val="both"/>
      </w:pPr>
      <w:r w:rsidRPr="00E26B84">
        <w:t>At least five auditors with a total number of full-time qualified employees involved in the tasks must work at the principal place of work, at least 10 persons, of whom at least two must certify qualifications in accordance with Article 19 of the Audit Law.</w:t>
      </w:r>
    </w:p>
    <w:p w:rsidR="00915DE2" w:rsidRPr="00E26B84" w:rsidRDefault="00915DE2" w:rsidP="00A46A16">
      <w:pPr>
        <w:pStyle w:val="ListParagraph"/>
        <w:numPr>
          <w:ilvl w:val="0"/>
          <w:numId w:val="13"/>
        </w:numPr>
        <w:spacing w:after="0"/>
        <w:ind w:left="1134" w:hanging="283"/>
        <w:jc w:val="both"/>
      </w:pPr>
      <w:r w:rsidRPr="00E26B84">
        <w:t>Cost of audit services.</w:t>
      </w:r>
    </w:p>
    <w:p w:rsidR="00057F39" w:rsidRDefault="00057F39" w:rsidP="00006E60">
      <w:pPr>
        <w:spacing w:after="0"/>
        <w:ind w:left="1134" w:hanging="425"/>
        <w:jc w:val="both"/>
      </w:pPr>
      <w:r w:rsidRPr="00E26B84">
        <w:t xml:space="preserve">3.2. </w:t>
      </w:r>
      <w:r w:rsidR="005E7C01" w:rsidRPr="00E26B84">
        <w:t xml:space="preserve">The requirements and criteria for attracting audit firms </w:t>
      </w:r>
      <w:proofErr w:type="gramStart"/>
      <w:r w:rsidR="005E7C01" w:rsidRPr="00E26B84">
        <w:t>are specified</w:t>
      </w:r>
      <w:proofErr w:type="gramEnd"/>
      <w:r w:rsidR="005E7C01" w:rsidRPr="00E26B84">
        <w:t xml:space="preserve"> in the announcement of the </w:t>
      </w:r>
      <w:r w:rsidR="00C11CE7">
        <w:t>Tender</w:t>
      </w:r>
      <w:r w:rsidR="005E7C01" w:rsidRPr="00E26B84">
        <w:t xml:space="preserve"> or in the tender documentation.</w:t>
      </w:r>
    </w:p>
    <w:p w:rsidR="00B051E9" w:rsidRPr="00E26B84" w:rsidRDefault="00B051E9" w:rsidP="00006E60">
      <w:pPr>
        <w:spacing w:after="0"/>
        <w:ind w:left="1134" w:hanging="425"/>
        <w:jc w:val="both"/>
      </w:pPr>
    </w:p>
    <w:p w:rsidR="00057F39" w:rsidRPr="00E26B84" w:rsidRDefault="005E7C01" w:rsidP="005E7C01">
      <w:pPr>
        <w:pStyle w:val="ListParagraph"/>
        <w:numPr>
          <w:ilvl w:val="0"/>
          <w:numId w:val="1"/>
        </w:numPr>
        <w:spacing w:after="0"/>
        <w:jc w:val="both"/>
        <w:rPr>
          <w:b/>
        </w:rPr>
      </w:pPr>
      <w:r w:rsidRPr="00E26B84">
        <w:rPr>
          <w:b/>
        </w:rPr>
        <w:t>Final Provisions.</w:t>
      </w:r>
    </w:p>
    <w:p w:rsidR="00C11CE7" w:rsidRDefault="00057F39" w:rsidP="00C11CE7">
      <w:pPr>
        <w:pStyle w:val="ListParagraph"/>
        <w:spacing w:after="0"/>
        <w:ind w:left="1276" w:hanging="709"/>
        <w:jc w:val="both"/>
      </w:pPr>
      <w:r w:rsidRPr="00E26B84">
        <w:t xml:space="preserve">    4.1</w:t>
      </w:r>
      <w:proofErr w:type="gramStart"/>
      <w:r w:rsidRPr="00E26B84">
        <w:t xml:space="preserve">.  </w:t>
      </w:r>
      <w:r w:rsidR="00230E7E" w:rsidRPr="00E26B84">
        <w:t>This</w:t>
      </w:r>
      <w:proofErr w:type="gramEnd"/>
      <w:r w:rsidR="00230E7E" w:rsidRPr="00E26B84">
        <w:t xml:space="preserve"> Procedure shall enter into force from the moment of its approval by the decision of the Supervisory Board</w:t>
      </w:r>
      <w:r w:rsidR="007C18CD">
        <w:rPr>
          <w:lang w:val="uk-UA"/>
        </w:rPr>
        <w:t xml:space="preserve"> </w:t>
      </w:r>
      <w:r w:rsidR="007C18CD">
        <w:t>of the Bank</w:t>
      </w:r>
      <w:r w:rsidR="00230E7E" w:rsidRPr="00E26B84">
        <w:t xml:space="preserve"> and shall be effective until its cancellation or adoption of a new internal document regulating similar issues, in the manner established by the statute, internal documents of the Bank and the current legislation of Ukraine.</w:t>
      </w:r>
    </w:p>
    <w:p w:rsidR="00006E60" w:rsidRDefault="00C11CE7" w:rsidP="00C11CE7">
      <w:pPr>
        <w:pStyle w:val="ListParagraph"/>
        <w:spacing w:after="0"/>
        <w:ind w:left="1276" w:hanging="709"/>
        <w:jc w:val="both"/>
      </w:pPr>
      <w:r>
        <w:t xml:space="preserve">    </w:t>
      </w:r>
      <w:r w:rsidR="00435CE0" w:rsidRPr="00E26B84">
        <w:t>4.2.</w:t>
      </w:r>
      <w:r>
        <w:t xml:space="preserve">   </w:t>
      </w:r>
      <w:r w:rsidR="00E26B84" w:rsidRPr="00E26B84">
        <w:t xml:space="preserve">In case any part of the </w:t>
      </w:r>
      <w:r w:rsidR="007C18CD">
        <w:t>Procedure</w:t>
      </w:r>
      <w:r w:rsidR="00E26B84" w:rsidRPr="00E26B84">
        <w:t xml:space="preserve"> does not comply with the legislation of Ukraine, including in connection with the adoption of new normative legal acts or improvement of the existing ones, the </w:t>
      </w:r>
      <w:r w:rsidR="007C18CD">
        <w:t>Procedure</w:t>
      </w:r>
      <w:r w:rsidR="00E26B84" w:rsidRPr="00E26B84">
        <w:t xml:space="preserve"> will only act in the part that does not contradict the legislation of Ukraine.</w:t>
      </w:r>
    </w:p>
    <w:p w:rsidR="007C18CD" w:rsidRPr="00E26B84" w:rsidRDefault="007C18CD" w:rsidP="00C11CE7">
      <w:pPr>
        <w:pStyle w:val="ListParagraph"/>
        <w:spacing w:after="0"/>
        <w:ind w:left="1276" w:hanging="709"/>
        <w:jc w:val="both"/>
      </w:pPr>
      <w:r>
        <w:lastRenderedPageBreak/>
        <w:t xml:space="preserve">4.3. </w:t>
      </w:r>
      <w:r w:rsidRPr="007C18CD">
        <w:t xml:space="preserve">The document </w:t>
      </w:r>
      <w:proofErr w:type="gramStart"/>
      <w:r w:rsidRPr="007C18CD">
        <w:t>is reviewed</w:t>
      </w:r>
      <w:proofErr w:type="gramEnd"/>
      <w:r w:rsidRPr="007C18CD">
        <w:t xml:space="preserve"> in case of changes</w:t>
      </w:r>
      <w:r>
        <w:t xml:space="preserve"> in the legislation</w:t>
      </w:r>
      <w:r w:rsidRPr="007C18CD">
        <w:t xml:space="preserve"> or changes in t</w:t>
      </w:r>
      <w:r>
        <w:t>he Bank's criteria / procedures</w:t>
      </w:r>
      <w:r w:rsidRPr="007C18CD">
        <w:t xml:space="preserve">. The changes </w:t>
      </w:r>
      <w:proofErr w:type="gramStart"/>
      <w:r w:rsidRPr="007C18CD">
        <w:t>are approved</w:t>
      </w:r>
      <w:proofErr w:type="gramEnd"/>
      <w:r w:rsidRPr="007C18CD">
        <w:t xml:space="preserve"> by the decision of the Supervisory Board</w:t>
      </w:r>
      <w:r>
        <w:t xml:space="preserve"> of the Bank</w:t>
      </w:r>
      <w:r w:rsidRPr="007C18CD">
        <w:t>.</w:t>
      </w:r>
    </w:p>
    <w:sectPr w:rsidR="007C18CD" w:rsidRPr="00E26B84" w:rsidSect="004141D4">
      <w:headerReference w:type="default" r:id="rId8"/>
      <w:pgSz w:w="12240" w:h="15840"/>
      <w:pgMar w:top="850" w:right="850"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095" w:rsidRDefault="00940095" w:rsidP="00061196">
      <w:pPr>
        <w:spacing w:after="0" w:line="240" w:lineRule="auto"/>
      </w:pPr>
      <w:r>
        <w:separator/>
      </w:r>
    </w:p>
  </w:endnote>
  <w:endnote w:type="continuationSeparator" w:id="0">
    <w:p w:rsidR="00940095" w:rsidRDefault="00940095" w:rsidP="0006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095" w:rsidRDefault="00940095" w:rsidP="00061196">
      <w:pPr>
        <w:spacing w:after="0" w:line="240" w:lineRule="auto"/>
      </w:pPr>
      <w:r>
        <w:separator/>
      </w:r>
    </w:p>
  </w:footnote>
  <w:footnote w:type="continuationSeparator" w:id="0">
    <w:p w:rsidR="00940095" w:rsidRDefault="00940095" w:rsidP="00061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96" w:rsidRDefault="00061196">
    <w:pPr>
      <w:pStyle w:val="Header"/>
    </w:pPr>
    <w:r w:rsidRPr="00AA16A4">
      <w:rPr>
        <w:noProof/>
        <w:lang w:val="uk-UA" w:eastAsia="uk-UA"/>
      </w:rPr>
      <w:drawing>
        <wp:inline distT="0" distB="0" distL="0" distR="0">
          <wp:extent cx="1637665" cy="485140"/>
          <wp:effectExtent l="0" t="0" r="635" b="0"/>
          <wp:docPr id="1" name="Picture 1" descr="PB-top_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top_logo.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485140"/>
                  </a:xfrm>
                  <a:prstGeom prst="rect">
                    <a:avLst/>
                  </a:prstGeom>
                  <a:noFill/>
                  <a:ln>
                    <a:noFill/>
                  </a:ln>
                </pic:spPr>
              </pic:pic>
            </a:graphicData>
          </a:graphic>
        </wp:inline>
      </w:drawing>
    </w:r>
  </w:p>
  <w:p w:rsidR="00061196" w:rsidRDefault="000611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216C1"/>
    <w:multiLevelType w:val="hybridMultilevel"/>
    <w:tmpl w:val="370644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A084C"/>
    <w:multiLevelType w:val="hybridMultilevel"/>
    <w:tmpl w:val="E1B8D090"/>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3C1D76C8"/>
    <w:multiLevelType w:val="hybridMultilevel"/>
    <w:tmpl w:val="2CE241C8"/>
    <w:lvl w:ilvl="0" w:tplc="04090013">
      <w:start w:val="1"/>
      <w:numFmt w:val="upperRoman"/>
      <w:lvlText w:val="%1."/>
      <w:lvlJc w:val="right"/>
      <w:pPr>
        <w:ind w:left="1429" w:hanging="360"/>
      </w:pPr>
    </w:lvl>
    <w:lvl w:ilvl="1" w:tplc="0409001B">
      <w:start w:val="1"/>
      <w:numFmt w:val="lowerRoman"/>
      <w:lvlText w:val="%2."/>
      <w:lvlJc w:val="righ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3C891B1F"/>
    <w:multiLevelType w:val="hybridMultilevel"/>
    <w:tmpl w:val="504028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4301F"/>
    <w:multiLevelType w:val="hybridMultilevel"/>
    <w:tmpl w:val="9048B328"/>
    <w:lvl w:ilvl="0" w:tplc="967EC83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1C90632"/>
    <w:multiLevelType w:val="hybridMultilevel"/>
    <w:tmpl w:val="A9A4828A"/>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46685555"/>
    <w:multiLevelType w:val="hybridMultilevel"/>
    <w:tmpl w:val="C86436D6"/>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4C7141F3"/>
    <w:multiLevelType w:val="multilevel"/>
    <w:tmpl w:val="981852C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45B75D7"/>
    <w:multiLevelType w:val="multilevel"/>
    <w:tmpl w:val="349A65BE"/>
    <w:lvl w:ilvl="0">
      <w:start w:val="1"/>
      <w:numFmt w:val="decimal"/>
      <w:lvlText w:val="%1."/>
      <w:lvlJc w:val="left"/>
      <w:pPr>
        <w:ind w:left="394" w:hanging="394"/>
      </w:pPr>
      <w:rPr>
        <w:rFonts w:hint="default"/>
      </w:rPr>
    </w:lvl>
    <w:lvl w:ilvl="1">
      <w:start w:val="1"/>
      <w:numFmt w:val="decimal"/>
      <w:lvlText w:val="%1.%2."/>
      <w:lvlJc w:val="left"/>
      <w:pPr>
        <w:ind w:left="1103" w:hanging="39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1647742"/>
    <w:multiLevelType w:val="hybridMultilevel"/>
    <w:tmpl w:val="AE66EC3A"/>
    <w:lvl w:ilvl="0" w:tplc="320C86A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66022805"/>
    <w:multiLevelType w:val="hybridMultilevel"/>
    <w:tmpl w:val="363A9BEE"/>
    <w:lvl w:ilvl="0" w:tplc="01F8DB7E">
      <w:start w:val="1"/>
      <w:numFmt w:val="decimal"/>
      <w:lvlText w:val="%1."/>
      <w:lvlJc w:val="left"/>
      <w:pPr>
        <w:ind w:left="870" w:hanging="510"/>
      </w:pPr>
      <w:rPr>
        <w:rFonts w:hint="default"/>
      </w:rPr>
    </w:lvl>
    <w:lvl w:ilvl="1" w:tplc="78DABD8E">
      <w:start w:val="6"/>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C16A2"/>
    <w:multiLevelType w:val="hybridMultilevel"/>
    <w:tmpl w:val="EAD23B60"/>
    <w:lvl w:ilvl="0" w:tplc="78DABD8E">
      <w:start w:val="6"/>
      <w:numFmt w:val="bullet"/>
      <w:lvlText w:val="•"/>
      <w:lvlJc w:val="left"/>
      <w:pPr>
        <w:ind w:left="720" w:hanging="360"/>
      </w:pPr>
      <w:rPr>
        <w:rFonts w:ascii="Calibri" w:eastAsiaTheme="minorHAnsi" w:hAnsi="Calibri" w:cstheme="minorBid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CB46299"/>
    <w:multiLevelType w:val="hybridMultilevel"/>
    <w:tmpl w:val="CA34D92E"/>
    <w:lvl w:ilvl="0" w:tplc="04090013">
      <w:start w:val="1"/>
      <w:numFmt w:val="upperRoman"/>
      <w:lvlText w:val="%1."/>
      <w:lvlJc w:val="righ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0"/>
  </w:num>
  <w:num w:numId="2">
    <w:abstractNumId w:val="5"/>
  </w:num>
  <w:num w:numId="3">
    <w:abstractNumId w:val="4"/>
  </w:num>
  <w:num w:numId="4">
    <w:abstractNumId w:val="6"/>
  </w:num>
  <w:num w:numId="5">
    <w:abstractNumId w:val="1"/>
  </w:num>
  <w:num w:numId="6">
    <w:abstractNumId w:val="9"/>
  </w:num>
  <w:num w:numId="7">
    <w:abstractNumId w:val="0"/>
  </w:num>
  <w:num w:numId="8">
    <w:abstractNumId w:val="3"/>
  </w:num>
  <w:num w:numId="9">
    <w:abstractNumId w:val="12"/>
  </w:num>
  <w:num w:numId="10">
    <w:abstractNumId w:val="2"/>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D4"/>
    <w:rsid w:val="00006E60"/>
    <w:rsid w:val="00055D1A"/>
    <w:rsid w:val="00057F39"/>
    <w:rsid w:val="00061196"/>
    <w:rsid w:val="0006315E"/>
    <w:rsid w:val="00190392"/>
    <w:rsid w:val="00230E7E"/>
    <w:rsid w:val="00235452"/>
    <w:rsid w:val="00332A58"/>
    <w:rsid w:val="003F758F"/>
    <w:rsid w:val="004141D4"/>
    <w:rsid w:val="00435CE0"/>
    <w:rsid w:val="004D2E64"/>
    <w:rsid w:val="005B1E85"/>
    <w:rsid w:val="005E4A15"/>
    <w:rsid w:val="005E7C01"/>
    <w:rsid w:val="00644C59"/>
    <w:rsid w:val="00676673"/>
    <w:rsid w:val="00684B9A"/>
    <w:rsid w:val="00692BD4"/>
    <w:rsid w:val="007C18CD"/>
    <w:rsid w:val="008139A3"/>
    <w:rsid w:val="008C10E7"/>
    <w:rsid w:val="008C7166"/>
    <w:rsid w:val="00915DE2"/>
    <w:rsid w:val="00930DBF"/>
    <w:rsid w:val="00940095"/>
    <w:rsid w:val="00964A4F"/>
    <w:rsid w:val="00A46A16"/>
    <w:rsid w:val="00B051E9"/>
    <w:rsid w:val="00C11CE7"/>
    <w:rsid w:val="00C46650"/>
    <w:rsid w:val="00C7343B"/>
    <w:rsid w:val="00CC35AD"/>
    <w:rsid w:val="00D43D1C"/>
    <w:rsid w:val="00D536AD"/>
    <w:rsid w:val="00DE2C59"/>
    <w:rsid w:val="00E26B84"/>
    <w:rsid w:val="00EE50E9"/>
    <w:rsid w:val="00EF5AFB"/>
    <w:rsid w:val="00F32A49"/>
    <w:rsid w:val="00FA29E5"/>
    <w:rsid w:val="00FD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D01A62D-018C-4163-AA13-60BD6E78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1D4"/>
    <w:pPr>
      <w:ind w:left="720"/>
      <w:contextualSpacing/>
    </w:pPr>
  </w:style>
  <w:style w:type="character" w:styleId="Hyperlink">
    <w:name w:val="Hyperlink"/>
    <w:basedOn w:val="DefaultParagraphFont"/>
    <w:uiPriority w:val="99"/>
    <w:unhideWhenUsed/>
    <w:rsid w:val="008139A3"/>
    <w:rPr>
      <w:color w:val="0563C1" w:themeColor="hyperlink"/>
      <w:u w:val="single"/>
    </w:rPr>
  </w:style>
  <w:style w:type="paragraph" w:styleId="Header">
    <w:name w:val="header"/>
    <w:basedOn w:val="Normal"/>
    <w:link w:val="HeaderChar"/>
    <w:uiPriority w:val="99"/>
    <w:unhideWhenUsed/>
    <w:rsid w:val="00061196"/>
    <w:pPr>
      <w:tabs>
        <w:tab w:val="center" w:pos="4986"/>
        <w:tab w:val="right" w:pos="9973"/>
      </w:tabs>
      <w:spacing w:after="0" w:line="240" w:lineRule="auto"/>
    </w:pPr>
  </w:style>
  <w:style w:type="character" w:customStyle="1" w:styleId="HeaderChar">
    <w:name w:val="Header Char"/>
    <w:basedOn w:val="DefaultParagraphFont"/>
    <w:link w:val="Header"/>
    <w:uiPriority w:val="99"/>
    <w:rsid w:val="00061196"/>
  </w:style>
  <w:style w:type="paragraph" w:styleId="Footer">
    <w:name w:val="footer"/>
    <w:basedOn w:val="Normal"/>
    <w:link w:val="FooterChar"/>
    <w:uiPriority w:val="99"/>
    <w:unhideWhenUsed/>
    <w:rsid w:val="00061196"/>
    <w:pPr>
      <w:tabs>
        <w:tab w:val="center" w:pos="4986"/>
        <w:tab w:val="right" w:pos="9973"/>
      </w:tabs>
      <w:spacing w:after="0" w:line="240" w:lineRule="auto"/>
    </w:pPr>
  </w:style>
  <w:style w:type="character" w:customStyle="1" w:styleId="FooterChar">
    <w:name w:val="Footer Char"/>
    <w:basedOn w:val="DefaultParagraphFont"/>
    <w:link w:val="Footer"/>
    <w:uiPriority w:val="99"/>
    <w:rsid w:val="00061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9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B66D9-1F5D-41A9-B5AD-A6326249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4904</Words>
  <Characters>2796</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Kvasha Vitaliy</dc:creator>
  <cp:keywords/>
  <dc:description/>
  <cp:lastModifiedBy>Vasilyeva Tatyana</cp:lastModifiedBy>
  <cp:revision>2</cp:revision>
  <dcterms:created xsi:type="dcterms:W3CDTF">2019-09-02T08:33:00Z</dcterms:created>
  <dcterms:modified xsi:type="dcterms:W3CDTF">2019-09-02T08:33:00Z</dcterms:modified>
</cp:coreProperties>
</file>