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59" w:rsidRDefault="004D2E64" w:rsidP="004D2E64">
      <w:pPr>
        <w:jc w:val="right"/>
        <w:rPr>
          <w:b/>
          <w:lang w:val="uk-UA"/>
        </w:rPr>
      </w:pPr>
      <w:r>
        <w:rPr>
          <w:b/>
          <w:lang w:val="ru-RU"/>
        </w:rPr>
        <w:tab/>
      </w:r>
      <w:r>
        <w:rPr>
          <w:b/>
          <w:lang w:val="uk-UA"/>
        </w:rPr>
        <w:t xml:space="preserve">Затверджено  </w:t>
      </w:r>
    </w:p>
    <w:p w:rsidR="00964A4F" w:rsidRDefault="004D2E64" w:rsidP="004D2E64">
      <w:pPr>
        <w:jc w:val="right"/>
        <w:rPr>
          <w:b/>
          <w:lang w:val="uk-UA"/>
        </w:rPr>
      </w:pPr>
      <w:r>
        <w:rPr>
          <w:b/>
          <w:lang w:val="uk-UA"/>
        </w:rPr>
        <w:t>Наглядово</w:t>
      </w:r>
      <w:r w:rsidR="005A746F">
        <w:rPr>
          <w:b/>
          <w:lang w:val="uk-UA"/>
        </w:rPr>
        <w:t>ю</w:t>
      </w:r>
      <w:r>
        <w:rPr>
          <w:b/>
          <w:lang w:val="uk-UA"/>
        </w:rPr>
        <w:t xml:space="preserve">  рад</w:t>
      </w:r>
      <w:r w:rsidR="005A746F">
        <w:rPr>
          <w:b/>
          <w:lang w:val="uk-UA"/>
        </w:rPr>
        <w:t>ою</w:t>
      </w:r>
    </w:p>
    <w:p w:rsidR="004D2E64" w:rsidRDefault="00964A4F" w:rsidP="004D2E64">
      <w:pPr>
        <w:jc w:val="right"/>
        <w:rPr>
          <w:b/>
          <w:lang w:val="uk-UA"/>
        </w:rPr>
      </w:pPr>
      <w:r>
        <w:rPr>
          <w:b/>
          <w:lang w:val="uk-UA"/>
        </w:rPr>
        <w:t>АТ «ПІРЕУС БАНК МКБ»</w:t>
      </w:r>
      <w:r w:rsidR="004D2E64">
        <w:rPr>
          <w:b/>
          <w:lang w:val="uk-UA"/>
        </w:rPr>
        <w:t xml:space="preserve"> </w:t>
      </w:r>
    </w:p>
    <w:p w:rsidR="004D2E64" w:rsidRDefault="005A746F" w:rsidP="004D2E64">
      <w:pPr>
        <w:jc w:val="right"/>
        <w:rPr>
          <w:b/>
          <w:lang w:val="uk-UA"/>
        </w:rPr>
      </w:pPr>
      <w:r>
        <w:rPr>
          <w:b/>
          <w:lang w:val="uk-UA"/>
        </w:rPr>
        <w:t xml:space="preserve">Протокол </w:t>
      </w:r>
      <w:r w:rsidR="004D2E64">
        <w:rPr>
          <w:b/>
          <w:lang w:val="uk-UA"/>
        </w:rPr>
        <w:t xml:space="preserve">№  </w:t>
      </w:r>
      <w:r>
        <w:rPr>
          <w:b/>
          <w:lang w:val="uk-UA"/>
        </w:rPr>
        <w:t>21_19</w:t>
      </w:r>
      <w:r w:rsidR="004D2E64">
        <w:rPr>
          <w:b/>
          <w:lang w:val="uk-UA"/>
        </w:rPr>
        <w:t xml:space="preserve"> </w:t>
      </w:r>
      <w:r w:rsidR="004D2E64" w:rsidRPr="00D23F84">
        <w:rPr>
          <w:b/>
          <w:lang w:val="uk-UA"/>
        </w:rPr>
        <w:t xml:space="preserve">від </w:t>
      </w:r>
      <w:r w:rsidRPr="00D23F84">
        <w:rPr>
          <w:b/>
          <w:lang w:val="uk-UA"/>
        </w:rPr>
        <w:t>30</w:t>
      </w:r>
      <w:r w:rsidR="004D2E64" w:rsidRPr="00D23F84">
        <w:rPr>
          <w:b/>
          <w:lang w:val="uk-UA"/>
        </w:rPr>
        <w:t>.</w:t>
      </w:r>
      <w:r w:rsidRPr="00D23F84">
        <w:rPr>
          <w:b/>
          <w:lang w:val="uk-UA"/>
        </w:rPr>
        <w:t>08</w:t>
      </w:r>
      <w:r w:rsidR="004D2E64" w:rsidRPr="00D23F84">
        <w:rPr>
          <w:b/>
          <w:lang w:val="uk-UA"/>
        </w:rPr>
        <w:t>.</w:t>
      </w:r>
      <w:r w:rsidRPr="00D23F84">
        <w:rPr>
          <w:b/>
          <w:lang w:val="uk-UA"/>
        </w:rPr>
        <w:t>2019</w:t>
      </w: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4D2E64" w:rsidRDefault="004D2E64" w:rsidP="004D2E64">
      <w:pPr>
        <w:jc w:val="right"/>
        <w:rPr>
          <w:b/>
          <w:lang w:val="uk-UA"/>
        </w:rPr>
      </w:pPr>
    </w:p>
    <w:p w:rsidR="00964A4F" w:rsidRPr="00CC35AD" w:rsidRDefault="00964A4F" w:rsidP="004D2E64">
      <w:pPr>
        <w:jc w:val="center"/>
        <w:rPr>
          <w:sz w:val="32"/>
          <w:szCs w:val="32"/>
          <w:lang w:val="uk-UA"/>
        </w:rPr>
      </w:pPr>
      <w:r w:rsidRPr="00CC35AD">
        <w:rPr>
          <w:sz w:val="32"/>
          <w:szCs w:val="32"/>
          <w:lang w:val="uk-UA"/>
        </w:rPr>
        <w:t xml:space="preserve">Порядок проведення конкурсу з відбору </w:t>
      </w:r>
    </w:p>
    <w:p w:rsidR="00964A4F" w:rsidRPr="00CC35AD" w:rsidRDefault="00964A4F" w:rsidP="004D2E64">
      <w:pPr>
        <w:jc w:val="center"/>
        <w:rPr>
          <w:sz w:val="32"/>
          <w:szCs w:val="32"/>
          <w:lang w:val="uk-UA"/>
        </w:rPr>
      </w:pPr>
      <w:r w:rsidRPr="00CC35AD">
        <w:rPr>
          <w:sz w:val="32"/>
          <w:szCs w:val="32"/>
          <w:lang w:val="uk-UA"/>
        </w:rPr>
        <w:t xml:space="preserve">аудиторських фірм, </w:t>
      </w:r>
    </w:p>
    <w:p w:rsidR="00964A4F" w:rsidRPr="00CC35AD" w:rsidRDefault="00964A4F" w:rsidP="004D2E64">
      <w:pPr>
        <w:jc w:val="center"/>
        <w:rPr>
          <w:sz w:val="32"/>
          <w:szCs w:val="32"/>
          <w:lang w:val="uk-UA"/>
        </w:rPr>
      </w:pPr>
      <w:r w:rsidRPr="00CC35AD">
        <w:rPr>
          <w:sz w:val="32"/>
          <w:szCs w:val="32"/>
          <w:lang w:val="uk-UA"/>
        </w:rPr>
        <w:t xml:space="preserve">які можуть бути призначені </w:t>
      </w:r>
    </w:p>
    <w:p w:rsidR="00964A4F" w:rsidRPr="00CC35AD" w:rsidRDefault="00964A4F" w:rsidP="004D2E64">
      <w:pPr>
        <w:jc w:val="center"/>
        <w:rPr>
          <w:sz w:val="32"/>
          <w:szCs w:val="32"/>
          <w:lang w:val="uk-UA"/>
        </w:rPr>
      </w:pPr>
      <w:r w:rsidRPr="00CC35AD">
        <w:rPr>
          <w:sz w:val="32"/>
          <w:szCs w:val="32"/>
          <w:lang w:val="uk-UA"/>
        </w:rPr>
        <w:t xml:space="preserve">для надання послуг з обов’язкового аудиту фінансової звітності </w:t>
      </w:r>
    </w:p>
    <w:p w:rsidR="00FD4E50" w:rsidRPr="00CC35AD" w:rsidRDefault="00964A4F" w:rsidP="004D2E64">
      <w:pPr>
        <w:jc w:val="center"/>
        <w:rPr>
          <w:b/>
          <w:sz w:val="32"/>
          <w:szCs w:val="32"/>
          <w:lang w:val="uk-UA"/>
        </w:rPr>
      </w:pPr>
      <w:r w:rsidRPr="00CC35AD">
        <w:rPr>
          <w:sz w:val="32"/>
          <w:szCs w:val="32"/>
          <w:lang w:val="uk-UA"/>
        </w:rPr>
        <w:t>АТ «ПІРЕУС БАНК МКБ»</w:t>
      </w:r>
      <w:r w:rsidR="00FD4E50" w:rsidRPr="00CC35AD">
        <w:rPr>
          <w:b/>
          <w:sz w:val="32"/>
          <w:szCs w:val="32"/>
          <w:lang w:val="uk-UA"/>
        </w:rPr>
        <w:t>.</w:t>
      </w: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Default="00FD4E50" w:rsidP="004D2E64">
      <w:pPr>
        <w:jc w:val="center"/>
        <w:rPr>
          <w:b/>
          <w:lang w:val="uk-UA"/>
        </w:rPr>
      </w:pPr>
    </w:p>
    <w:p w:rsidR="00FD4E50" w:rsidRPr="00061196" w:rsidRDefault="00FD4E50" w:rsidP="00061196">
      <w:pPr>
        <w:jc w:val="center"/>
        <w:rPr>
          <w:b/>
          <w:lang w:val="uk-UA"/>
        </w:rPr>
      </w:pPr>
    </w:p>
    <w:p w:rsidR="004D2E64" w:rsidRDefault="004D2E64" w:rsidP="00061196">
      <w:pPr>
        <w:jc w:val="center"/>
        <w:rPr>
          <w:b/>
          <w:lang w:val="uk-UA"/>
        </w:rPr>
      </w:pPr>
      <w:r>
        <w:rPr>
          <w:b/>
          <w:lang w:val="uk-UA"/>
        </w:rPr>
        <w:br w:type="page"/>
      </w:r>
    </w:p>
    <w:p w:rsidR="00964A4F" w:rsidRDefault="00964A4F" w:rsidP="008139A3">
      <w:pPr>
        <w:pStyle w:val="ListParagraph"/>
        <w:numPr>
          <w:ilvl w:val="0"/>
          <w:numId w:val="1"/>
        </w:numPr>
        <w:spacing w:after="0"/>
        <w:ind w:left="709" w:hanging="283"/>
        <w:jc w:val="both"/>
        <w:rPr>
          <w:b/>
          <w:lang w:val="uk-UA"/>
        </w:rPr>
      </w:pPr>
      <w:r>
        <w:rPr>
          <w:b/>
          <w:lang w:val="uk-UA"/>
        </w:rPr>
        <w:lastRenderedPageBreak/>
        <w:t>Загальні положення</w:t>
      </w:r>
      <w:r w:rsidR="000B5827">
        <w:rPr>
          <w:b/>
          <w:lang w:val="uk-UA"/>
        </w:rPr>
        <w:t>.</w:t>
      </w:r>
    </w:p>
    <w:p w:rsidR="00964A4F" w:rsidRPr="00756AB1" w:rsidRDefault="00964A4F" w:rsidP="00964A4F">
      <w:pPr>
        <w:pStyle w:val="ListParagraph"/>
        <w:numPr>
          <w:ilvl w:val="1"/>
          <w:numId w:val="12"/>
        </w:numPr>
        <w:spacing w:after="0"/>
        <w:jc w:val="both"/>
        <w:rPr>
          <w:lang w:val="uk-UA"/>
        </w:rPr>
      </w:pPr>
      <w:r w:rsidRPr="00756AB1">
        <w:rPr>
          <w:lang w:val="uk-UA"/>
        </w:rPr>
        <w:t xml:space="preserve">Цей Порядок проведення конкурсу з відбору аудиторських фірм, які можуть бути призначені </w:t>
      </w:r>
      <w:r w:rsidR="000B5827" w:rsidRPr="00756AB1">
        <w:rPr>
          <w:lang w:val="uk-UA"/>
        </w:rPr>
        <w:t xml:space="preserve">в </w:t>
      </w:r>
      <w:r w:rsidRPr="00756AB1">
        <w:rPr>
          <w:lang w:val="uk-UA"/>
        </w:rPr>
        <w:t>діяльності для надання послуг з обов'язкового аудиту фінансової звітності АТ «ПІРЕУС БАНК МКБ» (далі за текстом - Порядок) розроблений на виконання Закону України "Про аудит фінансової звітності та аудиторську діяльність" №2258-</w:t>
      </w:r>
      <w:r w:rsidRPr="00D23F84">
        <w:rPr>
          <w:lang w:val="uk-UA"/>
        </w:rPr>
        <w:t>VIII</w:t>
      </w:r>
      <w:r w:rsidRPr="00756AB1">
        <w:rPr>
          <w:lang w:val="uk-UA"/>
        </w:rPr>
        <w:t xml:space="preserve"> від 21.12.2017 р. (далі за текстом - Закон про аудит), Постанови Правління Національного банку України від 02 серпня 2018 року № 90 «Про затвердження Положення про порядок подання банком до Національного банку України аудиторського звіту за результатами щорічної перевірки фінансової звітності» та Постанови Правління Національного банку України від 02 серпня 2018 року № 89 «Про затвердження Положення про порядок відхилення (відсторонення) Національним банком України аудиторської фірми, яка обрана банком для проведення зовнішнього аудиту». </w:t>
      </w:r>
    </w:p>
    <w:p w:rsidR="00964A4F" w:rsidRDefault="00964A4F" w:rsidP="00964A4F">
      <w:pPr>
        <w:pStyle w:val="ListParagraph"/>
        <w:numPr>
          <w:ilvl w:val="1"/>
          <w:numId w:val="12"/>
        </w:numPr>
        <w:spacing w:after="0"/>
        <w:jc w:val="both"/>
        <w:rPr>
          <w:lang w:val="uk-UA"/>
        </w:rPr>
      </w:pPr>
      <w:r w:rsidRPr="00964A4F">
        <w:rPr>
          <w:lang w:val="uk-UA"/>
        </w:rPr>
        <w:t>Цей Порядок визначає процедуру проведення АКЦІОНЕРНИМ ТОВАРИСТВОМ "</w:t>
      </w:r>
      <w:r>
        <w:rPr>
          <w:lang w:val="uk-UA"/>
        </w:rPr>
        <w:t>ПІРЕУС БАНК МКБ»</w:t>
      </w:r>
      <w:r w:rsidRPr="00964A4F">
        <w:rPr>
          <w:lang w:val="uk-UA"/>
        </w:rPr>
        <w:t xml:space="preserve"> (далі за текстом - </w:t>
      </w:r>
      <w:r>
        <w:rPr>
          <w:lang w:val="uk-UA"/>
        </w:rPr>
        <w:t>Банк</w:t>
      </w:r>
      <w:r w:rsidRPr="00964A4F">
        <w:rPr>
          <w:lang w:val="uk-UA"/>
        </w:rPr>
        <w:t xml:space="preserve">) конкурсу з відбору </w:t>
      </w:r>
      <w:r>
        <w:rPr>
          <w:lang w:val="uk-UA"/>
        </w:rPr>
        <w:t xml:space="preserve">Банком </w:t>
      </w:r>
      <w:r w:rsidRPr="00964A4F">
        <w:rPr>
          <w:lang w:val="uk-UA"/>
        </w:rPr>
        <w:t>аудиторськ</w:t>
      </w:r>
      <w:r>
        <w:rPr>
          <w:lang w:val="uk-UA"/>
        </w:rPr>
        <w:t>их фірм</w:t>
      </w:r>
      <w:r w:rsidRPr="00964A4F">
        <w:rPr>
          <w:lang w:val="uk-UA"/>
        </w:rPr>
        <w:t xml:space="preserve"> для надання послуг з обов'язкового аудиту фінансової звітності </w:t>
      </w:r>
      <w:r>
        <w:rPr>
          <w:lang w:val="uk-UA"/>
        </w:rPr>
        <w:t>Банку</w:t>
      </w:r>
      <w:r w:rsidRPr="00964A4F">
        <w:rPr>
          <w:lang w:val="uk-UA"/>
        </w:rPr>
        <w:t xml:space="preserve"> (далі за текстом - Конкурс) і визначає критерії відбору </w:t>
      </w:r>
      <w:r>
        <w:rPr>
          <w:lang w:val="uk-UA"/>
        </w:rPr>
        <w:t>Банком</w:t>
      </w:r>
      <w:r w:rsidRPr="00964A4F">
        <w:rPr>
          <w:lang w:val="uk-UA"/>
        </w:rPr>
        <w:t xml:space="preserve"> аудиторськ</w:t>
      </w:r>
      <w:r>
        <w:rPr>
          <w:lang w:val="uk-UA"/>
        </w:rPr>
        <w:t>их</w:t>
      </w:r>
      <w:r w:rsidRPr="00964A4F">
        <w:rPr>
          <w:lang w:val="uk-UA"/>
        </w:rPr>
        <w:t xml:space="preserve"> </w:t>
      </w:r>
      <w:r>
        <w:rPr>
          <w:lang w:val="uk-UA"/>
        </w:rPr>
        <w:t>фірм</w:t>
      </w:r>
      <w:r w:rsidRPr="00964A4F">
        <w:rPr>
          <w:lang w:val="uk-UA"/>
        </w:rPr>
        <w:t xml:space="preserve"> для надання послуг з обов'язкового аудиту фінансової звітності </w:t>
      </w:r>
      <w:r>
        <w:rPr>
          <w:lang w:val="uk-UA"/>
        </w:rPr>
        <w:t>Банку</w:t>
      </w:r>
      <w:r w:rsidRPr="00964A4F">
        <w:rPr>
          <w:lang w:val="uk-UA"/>
        </w:rPr>
        <w:t>.</w:t>
      </w:r>
    </w:p>
    <w:p w:rsidR="00964A4F" w:rsidRDefault="00964A4F" w:rsidP="00964A4F">
      <w:pPr>
        <w:pStyle w:val="ListParagraph"/>
        <w:numPr>
          <w:ilvl w:val="1"/>
          <w:numId w:val="12"/>
        </w:numPr>
        <w:spacing w:after="0"/>
        <w:jc w:val="both"/>
        <w:rPr>
          <w:lang w:val="uk-UA"/>
        </w:rPr>
      </w:pPr>
      <w:r w:rsidRPr="00964A4F">
        <w:rPr>
          <w:lang w:val="uk-UA"/>
        </w:rPr>
        <w:t>Відповідальність за проведення Конкурсу покладається на Тендерний комітет Банку</w:t>
      </w:r>
      <w:r>
        <w:rPr>
          <w:lang w:val="uk-UA"/>
        </w:rPr>
        <w:t xml:space="preserve">. </w:t>
      </w:r>
    </w:p>
    <w:p w:rsidR="00964A4F" w:rsidRPr="00964A4F" w:rsidRDefault="00964A4F" w:rsidP="00964A4F">
      <w:pPr>
        <w:pStyle w:val="ListParagraph"/>
        <w:numPr>
          <w:ilvl w:val="1"/>
          <w:numId w:val="12"/>
        </w:numPr>
        <w:spacing w:after="0"/>
        <w:jc w:val="both"/>
        <w:rPr>
          <w:lang w:val="uk-UA"/>
        </w:rPr>
      </w:pPr>
      <w:r w:rsidRPr="00964A4F">
        <w:rPr>
          <w:lang w:val="uk-UA"/>
        </w:rPr>
        <w:t>Визначення термінів, які вживаються у цьому Порядку, застосовуються відповідно до Закону про аудит. Термін "підприємства, що становлять суспільний інтерес" вживається у значенні, наведеному у Законі України "Про бухгалтерський облік та фінансову звітність в Україні".</w:t>
      </w:r>
    </w:p>
    <w:p w:rsidR="004141D4" w:rsidRPr="00964A4F" w:rsidRDefault="004141D4" w:rsidP="00964A4F">
      <w:pPr>
        <w:pStyle w:val="ListParagraph"/>
        <w:numPr>
          <w:ilvl w:val="0"/>
          <w:numId w:val="1"/>
        </w:numPr>
        <w:spacing w:after="0"/>
        <w:ind w:left="709" w:hanging="283"/>
        <w:jc w:val="both"/>
        <w:rPr>
          <w:lang w:val="uk-UA"/>
        </w:rPr>
      </w:pPr>
      <w:r w:rsidRPr="004141D4">
        <w:rPr>
          <w:b/>
          <w:lang w:val="uk-UA"/>
        </w:rPr>
        <w:t xml:space="preserve">  </w:t>
      </w:r>
      <w:r w:rsidR="00964A4F">
        <w:rPr>
          <w:b/>
          <w:lang w:val="uk-UA"/>
        </w:rPr>
        <w:t>Порядок проведення Конкурсу.</w:t>
      </w:r>
    </w:p>
    <w:p w:rsidR="00964A4F" w:rsidRDefault="00D536AD" w:rsidP="00D536AD">
      <w:pPr>
        <w:pStyle w:val="ListParagraph"/>
        <w:spacing w:after="0"/>
        <w:ind w:left="1103" w:hanging="394"/>
        <w:jc w:val="both"/>
        <w:rPr>
          <w:lang w:val="uk-UA"/>
        </w:rPr>
      </w:pPr>
      <w:r>
        <w:rPr>
          <w:lang w:val="uk-UA"/>
        </w:rPr>
        <w:t xml:space="preserve">2.1. </w:t>
      </w:r>
      <w:r w:rsidRPr="00D536AD">
        <w:rPr>
          <w:lang w:val="uk-UA"/>
        </w:rPr>
        <w:t xml:space="preserve">Підставою для оголошення Конкурсу є рішення Наглядової ради </w:t>
      </w:r>
      <w:r>
        <w:rPr>
          <w:lang w:val="uk-UA"/>
        </w:rPr>
        <w:t>Банку</w:t>
      </w:r>
      <w:r w:rsidRPr="00D536AD">
        <w:rPr>
          <w:lang w:val="uk-UA"/>
        </w:rPr>
        <w:t>.</w:t>
      </w:r>
    </w:p>
    <w:p w:rsidR="00D536AD" w:rsidRPr="00D23F84" w:rsidRDefault="00D536AD" w:rsidP="00D536AD">
      <w:pPr>
        <w:pStyle w:val="ListParagraph"/>
        <w:spacing w:after="0"/>
        <w:ind w:left="1103" w:hanging="394"/>
        <w:jc w:val="both"/>
        <w:rPr>
          <w:lang w:val="uk-UA"/>
        </w:rPr>
      </w:pPr>
      <w:r>
        <w:rPr>
          <w:lang w:val="ru-RU"/>
        </w:rPr>
        <w:t xml:space="preserve">2.2. </w:t>
      </w:r>
      <w:r w:rsidRPr="00D23F84">
        <w:rPr>
          <w:lang w:val="uk-UA"/>
        </w:rPr>
        <w:t xml:space="preserve">Конкурс проводиться за наступними етапами: </w:t>
      </w:r>
    </w:p>
    <w:p w:rsidR="00D536AD" w:rsidRPr="00D23F84" w:rsidRDefault="00D536AD" w:rsidP="00D536AD">
      <w:pPr>
        <w:pStyle w:val="ListParagraph"/>
        <w:spacing w:after="0"/>
        <w:ind w:left="1103"/>
        <w:jc w:val="both"/>
        <w:rPr>
          <w:lang w:val="uk-UA"/>
        </w:rPr>
      </w:pPr>
      <w:r w:rsidRPr="00D23F84">
        <w:rPr>
          <w:lang w:val="uk-UA"/>
        </w:rPr>
        <w:t>1) прийняття рішення про оголошення Конкурсу</w:t>
      </w:r>
      <w:r w:rsidR="000B5827" w:rsidRPr="00D23F84">
        <w:rPr>
          <w:lang w:val="uk-UA"/>
        </w:rPr>
        <w:t xml:space="preserve"> та </w:t>
      </w:r>
      <w:r w:rsidRPr="00D23F84">
        <w:rPr>
          <w:lang w:val="uk-UA"/>
        </w:rPr>
        <w:t xml:space="preserve">затвердження тексту оголошення про проведення Конкурсу; </w:t>
      </w:r>
    </w:p>
    <w:p w:rsidR="00D536AD" w:rsidRPr="00D23F84" w:rsidRDefault="00D536AD" w:rsidP="00D536AD">
      <w:pPr>
        <w:pStyle w:val="ListParagraph"/>
        <w:spacing w:after="0"/>
        <w:ind w:left="1103"/>
        <w:jc w:val="both"/>
        <w:rPr>
          <w:lang w:val="uk-UA"/>
        </w:rPr>
      </w:pPr>
      <w:r w:rsidRPr="00D23F84">
        <w:rPr>
          <w:lang w:val="uk-UA"/>
        </w:rPr>
        <w:t xml:space="preserve">2) оприлюднення оголошення про проведення Конкурсу на </w:t>
      </w:r>
      <w:r w:rsidR="000B5827" w:rsidRPr="00D23F84">
        <w:rPr>
          <w:lang w:val="uk-UA"/>
        </w:rPr>
        <w:t xml:space="preserve">офіційному сайті </w:t>
      </w:r>
      <w:r w:rsidRPr="00D23F84">
        <w:rPr>
          <w:lang w:val="uk-UA"/>
        </w:rPr>
        <w:t xml:space="preserve"> Банку;  </w:t>
      </w:r>
    </w:p>
    <w:p w:rsidR="00D536AD" w:rsidRPr="00D23F84" w:rsidRDefault="00D536AD" w:rsidP="00D536AD">
      <w:pPr>
        <w:pStyle w:val="ListParagraph"/>
        <w:spacing w:after="0"/>
        <w:ind w:left="1103"/>
        <w:jc w:val="both"/>
        <w:rPr>
          <w:lang w:val="uk-UA"/>
        </w:rPr>
      </w:pPr>
      <w:r w:rsidRPr="00D23F84">
        <w:rPr>
          <w:lang w:val="uk-UA"/>
        </w:rPr>
        <w:t xml:space="preserve">3) прийняття документів від аудиторських фірм, які бажають взяти участь у Конкурсі; </w:t>
      </w:r>
    </w:p>
    <w:p w:rsidR="00D536AD" w:rsidRPr="00D23F84" w:rsidRDefault="00D536AD" w:rsidP="00D536AD">
      <w:pPr>
        <w:pStyle w:val="ListParagraph"/>
        <w:spacing w:after="0"/>
        <w:ind w:left="1103"/>
        <w:jc w:val="both"/>
        <w:rPr>
          <w:lang w:val="uk-UA"/>
        </w:rPr>
      </w:pPr>
      <w:r w:rsidRPr="00D23F84">
        <w:rPr>
          <w:lang w:val="uk-UA"/>
        </w:rPr>
        <w:t>4) перевірка поданих документів та аудиторських</w:t>
      </w:r>
      <w:r w:rsidR="000B5827" w:rsidRPr="00D23F84">
        <w:rPr>
          <w:lang w:val="uk-UA"/>
        </w:rPr>
        <w:t xml:space="preserve"> </w:t>
      </w:r>
      <w:r w:rsidRPr="00D23F84">
        <w:rPr>
          <w:lang w:val="uk-UA"/>
        </w:rPr>
        <w:t>фірм на відповідність установленим вимогам та критеріям</w:t>
      </w:r>
      <w:r w:rsidR="000B5827" w:rsidRPr="00D23F84">
        <w:rPr>
          <w:lang w:val="uk-UA"/>
        </w:rPr>
        <w:t xml:space="preserve"> в Банку</w:t>
      </w:r>
      <w:r w:rsidRPr="00D23F84">
        <w:rPr>
          <w:lang w:val="uk-UA"/>
        </w:rPr>
        <w:t xml:space="preserve">; </w:t>
      </w:r>
    </w:p>
    <w:p w:rsidR="00D536AD" w:rsidRPr="00D23F84" w:rsidRDefault="00D536AD" w:rsidP="00D536AD">
      <w:pPr>
        <w:pStyle w:val="ListParagraph"/>
        <w:spacing w:after="0"/>
        <w:ind w:left="1103"/>
        <w:jc w:val="both"/>
        <w:rPr>
          <w:lang w:val="uk-UA"/>
        </w:rPr>
      </w:pPr>
      <w:r w:rsidRPr="00D23F84">
        <w:rPr>
          <w:lang w:val="uk-UA"/>
        </w:rPr>
        <w:t xml:space="preserve">5) підведення підсумків результатів Конкурсу та визначення переможців в кількості, необхідній для подання рекомендацій уповноваженому органу Банку; </w:t>
      </w:r>
    </w:p>
    <w:p w:rsidR="00D536AD" w:rsidRPr="00D23F84" w:rsidRDefault="00D536AD" w:rsidP="00D536AD">
      <w:pPr>
        <w:pStyle w:val="ListParagraph"/>
        <w:spacing w:after="0"/>
        <w:ind w:left="1103"/>
        <w:jc w:val="both"/>
        <w:rPr>
          <w:lang w:val="uk-UA"/>
        </w:rPr>
      </w:pPr>
      <w:r w:rsidRPr="00D23F84">
        <w:rPr>
          <w:lang w:val="uk-UA"/>
        </w:rPr>
        <w:t>6) повідомлення аудиторських фірм про результати Конкурсу.</w:t>
      </w:r>
    </w:p>
    <w:p w:rsidR="00D536AD" w:rsidRPr="00D23F84" w:rsidRDefault="00D536AD" w:rsidP="00D536AD">
      <w:pPr>
        <w:pStyle w:val="ListParagraph"/>
        <w:spacing w:after="0"/>
        <w:ind w:left="1103" w:hanging="394"/>
        <w:jc w:val="both"/>
        <w:rPr>
          <w:lang w:val="uk-UA"/>
        </w:rPr>
      </w:pPr>
      <w:r w:rsidRPr="00D23F84">
        <w:rPr>
          <w:lang w:val="uk-UA"/>
        </w:rPr>
        <w:t xml:space="preserve">2.3. Аудиторські фірми, які виявили бажання </w:t>
      </w:r>
      <w:r w:rsidR="000B5827" w:rsidRPr="00D23F84">
        <w:rPr>
          <w:lang w:val="uk-UA"/>
        </w:rPr>
        <w:t xml:space="preserve">прийняти </w:t>
      </w:r>
      <w:r w:rsidRPr="00D23F84">
        <w:rPr>
          <w:lang w:val="uk-UA"/>
        </w:rPr>
        <w:t xml:space="preserve"> участь у Конкурсі, можуть </w:t>
      </w:r>
      <w:r w:rsidR="000B5827" w:rsidRPr="00D23F84">
        <w:rPr>
          <w:lang w:val="uk-UA"/>
        </w:rPr>
        <w:t xml:space="preserve">ознайомитись  </w:t>
      </w:r>
      <w:r w:rsidRPr="00D23F84">
        <w:rPr>
          <w:lang w:val="uk-UA"/>
        </w:rPr>
        <w:t xml:space="preserve"> на </w:t>
      </w:r>
      <w:r w:rsidR="000B5827" w:rsidRPr="00D23F84">
        <w:rPr>
          <w:lang w:val="uk-UA"/>
        </w:rPr>
        <w:t xml:space="preserve">офіційному </w:t>
      </w:r>
      <w:r w:rsidRPr="00D23F84">
        <w:rPr>
          <w:lang w:val="uk-UA"/>
        </w:rPr>
        <w:t xml:space="preserve">сайті Банку </w:t>
      </w:r>
      <w:hyperlink r:id="rId7" w:history="1">
        <w:r w:rsidR="000B5827" w:rsidRPr="00D23F84">
          <w:rPr>
            <w:rStyle w:val="Hyperlink"/>
            <w:lang w:val="uk-UA"/>
          </w:rPr>
          <w:t>www.piraeusbank.ua</w:t>
        </w:r>
      </w:hyperlink>
      <w:r w:rsidR="000B5827" w:rsidRPr="00D23F84">
        <w:rPr>
          <w:lang w:val="uk-UA"/>
        </w:rPr>
        <w:t xml:space="preserve"> із </w:t>
      </w:r>
      <w:r w:rsidRPr="00D23F84">
        <w:rPr>
          <w:lang w:val="uk-UA"/>
        </w:rPr>
        <w:t>тендерн</w:t>
      </w:r>
      <w:r w:rsidR="000B5827" w:rsidRPr="00756AB1">
        <w:rPr>
          <w:lang w:val="uk-UA"/>
        </w:rPr>
        <w:t xml:space="preserve">ою </w:t>
      </w:r>
      <w:r w:rsidRPr="00D23F84">
        <w:rPr>
          <w:lang w:val="uk-UA"/>
        </w:rPr>
        <w:t xml:space="preserve"> (</w:t>
      </w:r>
      <w:r w:rsidR="000B5827" w:rsidRPr="00D23F84">
        <w:rPr>
          <w:lang w:val="uk-UA"/>
        </w:rPr>
        <w:t>конкурсн</w:t>
      </w:r>
      <w:r w:rsidR="000B5827" w:rsidRPr="00756AB1">
        <w:rPr>
          <w:lang w:val="uk-UA"/>
        </w:rPr>
        <w:t>ою</w:t>
      </w:r>
      <w:r w:rsidRPr="00D23F84">
        <w:rPr>
          <w:lang w:val="uk-UA"/>
        </w:rPr>
        <w:t>) документаці</w:t>
      </w:r>
      <w:r w:rsidR="000B5827" w:rsidRPr="00D23F84">
        <w:rPr>
          <w:lang w:val="uk-UA"/>
        </w:rPr>
        <w:t>єю</w:t>
      </w:r>
      <w:r w:rsidRPr="00D23F84">
        <w:rPr>
          <w:lang w:val="uk-UA"/>
        </w:rPr>
        <w:t>, яка розкриває інформацію про діяльність</w:t>
      </w:r>
      <w:r w:rsidRPr="00756AB1">
        <w:rPr>
          <w:lang w:val="uk-UA"/>
        </w:rPr>
        <w:t xml:space="preserve"> Банку</w:t>
      </w:r>
      <w:r w:rsidRPr="00D23F84">
        <w:rPr>
          <w:lang w:val="uk-UA"/>
        </w:rPr>
        <w:t xml:space="preserve"> та містить завдання з обов'язкового аудиту фінансової звітності.</w:t>
      </w:r>
    </w:p>
    <w:p w:rsidR="00D536AD" w:rsidRPr="00D23F84" w:rsidRDefault="00D536AD" w:rsidP="00D536AD">
      <w:pPr>
        <w:pStyle w:val="ListParagraph"/>
        <w:spacing w:after="0"/>
        <w:ind w:left="1103" w:hanging="394"/>
        <w:jc w:val="both"/>
        <w:rPr>
          <w:lang w:val="uk-UA"/>
        </w:rPr>
      </w:pPr>
      <w:r w:rsidRPr="00D23F84">
        <w:rPr>
          <w:lang w:val="uk-UA"/>
        </w:rPr>
        <w:t>2.4. Перелік документів для участі в конкурсі та спосіб їх подання аудиторськими фірмами визначаються Наглядовою радою Банку та зазначаються в оголошенні про проведення Конкурсу.</w:t>
      </w:r>
    </w:p>
    <w:p w:rsidR="00D536AD" w:rsidRPr="00D23F84" w:rsidRDefault="00D536AD" w:rsidP="00D536AD">
      <w:pPr>
        <w:pStyle w:val="ListParagraph"/>
        <w:spacing w:after="0"/>
        <w:ind w:left="1103" w:hanging="394"/>
        <w:jc w:val="both"/>
        <w:rPr>
          <w:lang w:val="uk-UA"/>
        </w:rPr>
      </w:pPr>
      <w:r w:rsidRPr="00D23F84">
        <w:rPr>
          <w:lang w:val="uk-UA"/>
        </w:rPr>
        <w:t>2.5. Повідомлення аудиторської фірми про результати Конкурсу може здійснюватися одним із доступних способів, обраним таким суб'єктом аудиторської діяльності, зокрема у письмовій формі, засобами електронного зв'язку.</w:t>
      </w:r>
    </w:p>
    <w:p w:rsidR="00C7343B" w:rsidRPr="00D23F84" w:rsidRDefault="00D536AD" w:rsidP="00C7343B">
      <w:pPr>
        <w:pStyle w:val="ListParagraph"/>
        <w:spacing w:after="0"/>
        <w:ind w:left="1103" w:hanging="394"/>
        <w:jc w:val="both"/>
        <w:rPr>
          <w:lang w:val="uk-UA"/>
        </w:rPr>
      </w:pPr>
      <w:r w:rsidRPr="00D23F84">
        <w:rPr>
          <w:lang w:val="uk-UA"/>
        </w:rPr>
        <w:t>2.6. Тендерний комітет Банку оцінює конкурсні пропозиції, подані аудиторськ</w:t>
      </w:r>
      <w:r w:rsidR="00C7343B" w:rsidRPr="00D23F84">
        <w:rPr>
          <w:lang w:val="uk-UA"/>
        </w:rPr>
        <w:t>ими</w:t>
      </w:r>
      <w:r w:rsidRPr="00D23F84">
        <w:rPr>
          <w:lang w:val="uk-UA"/>
        </w:rPr>
        <w:t xml:space="preserve"> </w:t>
      </w:r>
      <w:r w:rsidR="00C7343B" w:rsidRPr="00D23F84">
        <w:rPr>
          <w:lang w:val="uk-UA"/>
        </w:rPr>
        <w:t>фірмами</w:t>
      </w:r>
      <w:r w:rsidRPr="00D23F84">
        <w:rPr>
          <w:lang w:val="uk-UA"/>
        </w:rPr>
        <w:t>, за встановленими критеріями відбору та складає в довільній формі звіт про висновки процедури відбору. До уваги беруться результати контролю якості послуг, що надаються аудиторськ</w:t>
      </w:r>
      <w:r w:rsidR="00C7343B" w:rsidRPr="00D23F84">
        <w:rPr>
          <w:lang w:val="uk-UA"/>
        </w:rPr>
        <w:t>ими</w:t>
      </w:r>
      <w:r w:rsidRPr="00D23F84">
        <w:rPr>
          <w:lang w:val="uk-UA"/>
        </w:rPr>
        <w:t xml:space="preserve"> </w:t>
      </w:r>
      <w:r w:rsidR="00C7343B" w:rsidRPr="00D23F84">
        <w:rPr>
          <w:lang w:val="uk-UA"/>
        </w:rPr>
        <w:t>фірмами</w:t>
      </w:r>
      <w:r w:rsidRPr="00D23F84">
        <w:rPr>
          <w:lang w:val="uk-UA"/>
        </w:rPr>
        <w:t>, які беруть участь у Конкурсі. Загальний</w:t>
      </w:r>
      <w:r w:rsidR="00C7343B" w:rsidRPr="00D23F84">
        <w:rPr>
          <w:lang w:val="uk-UA"/>
        </w:rPr>
        <w:t xml:space="preserve"> </w:t>
      </w:r>
      <w:r w:rsidRPr="00D23F84">
        <w:rPr>
          <w:lang w:val="uk-UA"/>
        </w:rPr>
        <w:t xml:space="preserve">строк розгляду та оцінки конкурсних пропозицій </w:t>
      </w:r>
      <w:r w:rsidRPr="00D23F84">
        <w:rPr>
          <w:lang w:val="uk-UA"/>
        </w:rPr>
        <w:lastRenderedPageBreak/>
        <w:t>та складання звіту про висновки</w:t>
      </w:r>
      <w:r w:rsidR="00C7343B" w:rsidRPr="00D23F84">
        <w:rPr>
          <w:lang w:val="uk-UA"/>
        </w:rPr>
        <w:t xml:space="preserve"> </w:t>
      </w:r>
      <w:r w:rsidRPr="00D23F84">
        <w:rPr>
          <w:lang w:val="uk-UA"/>
        </w:rPr>
        <w:t>процедури відбору не повинен перевищувати 10 (десять) робочих днів</w:t>
      </w:r>
      <w:r w:rsidR="00857779">
        <w:rPr>
          <w:lang w:val="uk-UA"/>
        </w:rPr>
        <w:t xml:space="preserve">, наступних після граничного терміну отримання конкурсних пропозицій </w:t>
      </w:r>
      <w:r w:rsidRPr="00D23F84">
        <w:rPr>
          <w:lang w:val="uk-UA"/>
        </w:rPr>
        <w:t>.</w:t>
      </w:r>
      <w:r w:rsidRPr="00D23F84">
        <w:rPr>
          <w:lang w:val="uk-UA"/>
        </w:rPr>
        <w:cr/>
      </w:r>
      <w:r w:rsidR="00C7343B" w:rsidRPr="00D23F84">
        <w:rPr>
          <w:lang w:val="uk-UA"/>
        </w:rPr>
        <w:t>2.7. За результатами конкурсу</w:t>
      </w:r>
      <w:r w:rsidR="000B5827" w:rsidRPr="00D23F84">
        <w:rPr>
          <w:lang w:val="uk-UA"/>
        </w:rPr>
        <w:t>,</w:t>
      </w:r>
      <w:r w:rsidR="00C7343B" w:rsidRPr="00D23F84">
        <w:rPr>
          <w:lang w:val="uk-UA"/>
        </w:rPr>
        <w:t xml:space="preserve"> Тендерний комітет </w:t>
      </w:r>
      <w:r w:rsidR="000B5827" w:rsidRPr="00D23F84">
        <w:rPr>
          <w:lang w:val="uk-UA"/>
        </w:rPr>
        <w:t xml:space="preserve">Банку </w:t>
      </w:r>
      <w:r w:rsidR="00C7343B" w:rsidRPr="00D23F84">
        <w:rPr>
          <w:lang w:val="uk-UA"/>
        </w:rPr>
        <w:t>представляє обґрунтовані рекомендації щодо призначення аудиторської фірми для надання послуг з обов'язкового аудиту фінансової звітності, які мають включати щонайменше дві пропозиції щодо відбору аудиторських фірм для проведення обов'язкового аудиту фінансової звітності Банку</w:t>
      </w:r>
      <w:r w:rsidR="000B5827" w:rsidRPr="00D23F84">
        <w:rPr>
          <w:lang w:val="uk-UA"/>
        </w:rPr>
        <w:t>. Н</w:t>
      </w:r>
      <w:r w:rsidR="00C7343B" w:rsidRPr="00D23F84">
        <w:rPr>
          <w:lang w:val="uk-UA"/>
        </w:rPr>
        <w:t xml:space="preserve">а підставі </w:t>
      </w:r>
      <w:r w:rsidR="000B5827" w:rsidRPr="00D23F84">
        <w:rPr>
          <w:lang w:val="uk-UA"/>
        </w:rPr>
        <w:t xml:space="preserve">цього </w:t>
      </w:r>
      <w:r w:rsidR="00C7343B" w:rsidRPr="00D23F84">
        <w:rPr>
          <w:lang w:val="uk-UA"/>
        </w:rPr>
        <w:t xml:space="preserve"> форму</w:t>
      </w:r>
      <w:r w:rsidR="000B5827" w:rsidRPr="00D23F84">
        <w:rPr>
          <w:lang w:val="uk-UA"/>
        </w:rPr>
        <w:t>є</w:t>
      </w:r>
      <w:r w:rsidR="00C7343B" w:rsidRPr="00D23F84">
        <w:rPr>
          <w:lang w:val="uk-UA"/>
        </w:rPr>
        <w:t>ться пропозиція для Наглядової Ради Банку про призначення аудиторської фірми для надання послуг з обов'язкового аудиту фінансової звітності, які мають включати рекомендації Тендерного комітету</w:t>
      </w:r>
      <w:r w:rsidR="002409B3" w:rsidRPr="00D23F84">
        <w:rPr>
          <w:lang w:val="uk-UA"/>
        </w:rPr>
        <w:t xml:space="preserve"> Банку </w:t>
      </w:r>
      <w:r w:rsidR="00C7343B" w:rsidRPr="00D23F84">
        <w:rPr>
          <w:lang w:val="uk-UA"/>
        </w:rPr>
        <w:t>, а також обґрунтовані рекомендації щодо вибору однієї аудиторської фірми.</w:t>
      </w:r>
    </w:p>
    <w:p w:rsidR="00C7343B" w:rsidRPr="00D23F84" w:rsidRDefault="00C7343B" w:rsidP="00C7343B">
      <w:pPr>
        <w:pStyle w:val="ListParagraph"/>
        <w:spacing w:after="0"/>
        <w:ind w:left="1103" w:hanging="394"/>
        <w:jc w:val="both"/>
        <w:rPr>
          <w:lang w:val="uk-UA"/>
        </w:rPr>
      </w:pPr>
      <w:r w:rsidRPr="00D23F84">
        <w:rPr>
          <w:lang w:val="uk-UA"/>
        </w:rPr>
        <w:t>2.8. Аудиторська фірма для надання послуг з обов'язкового аудиту фінансової звітності Банку призначається Наглядовою Радою Банку.</w:t>
      </w:r>
    </w:p>
    <w:p w:rsidR="00C7343B" w:rsidRPr="00D23F84" w:rsidRDefault="00C7343B" w:rsidP="00C7343B">
      <w:pPr>
        <w:pStyle w:val="ListParagraph"/>
        <w:spacing w:after="0"/>
        <w:ind w:left="1103" w:hanging="394"/>
        <w:jc w:val="both"/>
        <w:rPr>
          <w:lang w:val="uk-UA"/>
        </w:rPr>
      </w:pPr>
      <w:r w:rsidRPr="00D23F84">
        <w:rPr>
          <w:lang w:val="uk-UA"/>
        </w:rPr>
        <w:t xml:space="preserve">2.9. Банк може відмінити конкурс на будь-якому етапі або визнати його таким, що не відбувся, з наступних підстав: </w:t>
      </w:r>
    </w:p>
    <w:p w:rsidR="00C7343B" w:rsidRPr="00D23F84" w:rsidRDefault="00C7343B" w:rsidP="00C7343B">
      <w:pPr>
        <w:pStyle w:val="ListParagraph"/>
        <w:spacing w:after="0"/>
        <w:ind w:left="1103" w:hanging="394"/>
        <w:jc w:val="both"/>
        <w:rPr>
          <w:lang w:val="uk-UA"/>
        </w:rPr>
      </w:pPr>
      <w:r w:rsidRPr="00D23F84">
        <w:rPr>
          <w:lang w:val="uk-UA"/>
        </w:rPr>
        <w:t xml:space="preserve">- відхилення всіх конкурсних пропозицій; </w:t>
      </w:r>
    </w:p>
    <w:p w:rsidR="00C7343B" w:rsidRPr="00D23F84" w:rsidRDefault="00C7343B" w:rsidP="00C7343B">
      <w:pPr>
        <w:pStyle w:val="ListParagraph"/>
        <w:spacing w:after="0"/>
        <w:ind w:left="1103" w:hanging="394"/>
        <w:jc w:val="both"/>
        <w:rPr>
          <w:lang w:val="uk-UA"/>
        </w:rPr>
      </w:pPr>
      <w:r w:rsidRPr="00D23F84">
        <w:rPr>
          <w:lang w:val="uk-UA"/>
        </w:rPr>
        <w:t>- подання до участі у Конкурсі менше двох конкурсних пропозицій.</w:t>
      </w:r>
    </w:p>
    <w:p w:rsidR="00C7343B" w:rsidRPr="00D536AD" w:rsidRDefault="00C7343B" w:rsidP="00C7343B">
      <w:pPr>
        <w:pStyle w:val="ListParagraph"/>
        <w:spacing w:after="0"/>
        <w:ind w:left="1103" w:hanging="394"/>
        <w:jc w:val="both"/>
        <w:rPr>
          <w:lang w:val="ru-RU"/>
        </w:rPr>
      </w:pPr>
    </w:p>
    <w:p w:rsidR="00930DBF" w:rsidRPr="00D23F84" w:rsidRDefault="00CC35AD" w:rsidP="008139A3">
      <w:pPr>
        <w:pStyle w:val="ListParagraph"/>
        <w:numPr>
          <w:ilvl w:val="0"/>
          <w:numId w:val="1"/>
        </w:numPr>
        <w:spacing w:after="0"/>
        <w:jc w:val="both"/>
        <w:rPr>
          <w:b/>
          <w:lang w:val="uk-UA"/>
        </w:rPr>
      </w:pPr>
      <w:r w:rsidRPr="00D23F84">
        <w:rPr>
          <w:b/>
          <w:lang w:val="uk-UA"/>
        </w:rPr>
        <w:t>Критерії відбору Аудиторської фірми для надання послуг з обов’язкового аудиту фінансової звітності Банку</w:t>
      </w:r>
      <w:r w:rsidR="00930DBF" w:rsidRPr="00D23F84">
        <w:rPr>
          <w:b/>
          <w:lang w:val="uk-UA"/>
        </w:rPr>
        <w:t>.</w:t>
      </w:r>
    </w:p>
    <w:p w:rsidR="00CC35AD" w:rsidRPr="00D23F84" w:rsidRDefault="00057F39" w:rsidP="00CC35AD">
      <w:pPr>
        <w:tabs>
          <w:tab w:val="left" w:pos="1276"/>
        </w:tabs>
        <w:spacing w:after="0"/>
        <w:ind w:left="1134" w:hanging="425"/>
        <w:jc w:val="both"/>
        <w:rPr>
          <w:lang w:val="uk-UA"/>
        </w:rPr>
      </w:pPr>
      <w:r w:rsidRPr="00D23F84">
        <w:rPr>
          <w:lang w:val="uk-UA"/>
        </w:rPr>
        <w:t>3.1. У К</w:t>
      </w:r>
      <w:r w:rsidR="00CC35AD" w:rsidRPr="00D23F84">
        <w:rPr>
          <w:lang w:val="uk-UA"/>
        </w:rPr>
        <w:t>онкурсі можуть брати участь аудиторські фірми, які відповідають вимогам, встановленим у Законі про аудит та додатковим критеріям Банку, а саме:</w:t>
      </w:r>
    </w:p>
    <w:p w:rsidR="00CC35AD" w:rsidRPr="00D23F84" w:rsidRDefault="00CC35AD" w:rsidP="00CC35AD">
      <w:pPr>
        <w:pStyle w:val="ListParagraph"/>
        <w:numPr>
          <w:ilvl w:val="0"/>
          <w:numId w:val="13"/>
        </w:numPr>
        <w:spacing w:after="0"/>
        <w:ind w:left="1701"/>
        <w:jc w:val="both"/>
        <w:rPr>
          <w:lang w:val="uk-UA"/>
        </w:rPr>
      </w:pPr>
      <w:r w:rsidRPr="00D23F84">
        <w:rPr>
          <w:lang w:val="uk-UA"/>
        </w:rPr>
        <w:t>Аудиторська фірма включена до відповідного розділу Реєстру аудиторів та суб'єктів аудиторської діяльності "Суб'єкти аудиторської діяльності, які мають право проводити обов'язковий аудит фінансової звітності підприємств, що становлять суспільний інтерес", та діяльність яких відповідає вимогам Закону про аудит;</w:t>
      </w:r>
    </w:p>
    <w:p w:rsidR="00644C59" w:rsidRPr="00857779" w:rsidRDefault="00644C59" w:rsidP="00CC35AD">
      <w:pPr>
        <w:pStyle w:val="ListParagraph"/>
        <w:numPr>
          <w:ilvl w:val="0"/>
          <w:numId w:val="13"/>
        </w:numPr>
        <w:spacing w:after="0"/>
        <w:ind w:left="1701"/>
        <w:jc w:val="both"/>
        <w:rPr>
          <w:lang w:val="uk-UA"/>
        </w:rPr>
      </w:pPr>
      <w:r w:rsidRPr="00756AB1">
        <w:rPr>
          <w:lang w:val="uk-UA"/>
        </w:rPr>
        <w:t>Досвід роботи аудиторської компанії у сфері аудиту фінансової звітності банків на ринку України.</w:t>
      </w:r>
    </w:p>
    <w:p w:rsidR="00644C59" w:rsidRPr="00644C59" w:rsidRDefault="00644C59" w:rsidP="00CC35AD">
      <w:pPr>
        <w:pStyle w:val="ListParagraph"/>
        <w:numPr>
          <w:ilvl w:val="0"/>
          <w:numId w:val="13"/>
        </w:numPr>
        <w:spacing w:after="0"/>
        <w:ind w:left="1701"/>
        <w:jc w:val="both"/>
        <w:rPr>
          <w:lang w:val="uk-UA"/>
        </w:rPr>
      </w:pPr>
      <w:r w:rsidRPr="00756AB1">
        <w:rPr>
          <w:lang w:val="uk-UA"/>
        </w:rPr>
        <w:t>Професійний досвід аудиторів, наявність у аудиторів чинних сертифікатів професійних організацій, що підтверджують високий рівень знань з міжнародних стандартів</w:t>
      </w:r>
      <w:r w:rsidRPr="00644C59">
        <w:rPr>
          <w:lang w:val="uk-UA"/>
        </w:rPr>
        <w:t xml:space="preserve"> фінансової звітності.</w:t>
      </w:r>
    </w:p>
    <w:p w:rsidR="00644C59" w:rsidRPr="00644C59" w:rsidRDefault="00644C59" w:rsidP="00CC35AD">
      <w:pPr>
        <w:pStyle w:val="ListParagraph"/>
        <w:numPr>
          <w:ilvl w:val="0"/>
          <w:numId w:val="13"/>
        </w:numPr>
        <w:spacing w:after="0"/>
        <w:ind w:left="1701"/>
        <w:jc w:val="both"/>
        <w:rPr>
          <w:lang w:val="uk-UA"/>
        </w:rPr>
      </w:pPr>
      <w:r w:rsidRPr="00644C59">
        <w:rPr>
          <w:lang w:val="uk-UA"/>
        </w:rPr>
        <w:t xml:space="preserve">Бездоганна репутація </w:t>
      </w:r>
      <w:r w:rsidR="002A4897">
        <w:rPr>
          <w:lang w:val="uk-UA"/>
        </w:rPr>
        <w:t>фірми</w:t>
      </w:r>
      <w:r w:rsidRPr="00644C59">
        <w:rPr>
          <w:lang w:val="uk-UA"/>
        </w:rPr>
        <w:t xml:space="preserve">, відсутність фактів порушення законодавства України, Міжнародних стандартів аудиту або професійної етики аудиторів. </w:t>
      </w:r>
    </w:p>
    <w:p w:rsidR="00644C59" w:rsidRDefault="00644C59" w:rsidP="00CC35AD">
      <w:pPr>
        <w:pStyle w:val="ListParagraph"/>
        <w:numPr>
          <w:ilvl w:val="0"/>
          <w:numId w:val="13"/>
        </w:numPr>
        <w:spacing w:after="0"/>
        <w:ind w:left="1701"/>
        <w:jc w:val="both"/>
        <w:rPr>
          <w:lang w:val="uk-UA"/>
        </w:rPr>
      </w:pPr>
      <w:r w:rsidRPr="00644C59">
        <w:rPr>
          <w:lang w:val="uk-UA"/>
        </w:rPr>
        <w:t>Відсутність конфлікту інтересів, який може негативним чином позначитися на об’єктивності аудиторської компанії.</w:t>
      </w:r>
    </w:p>
    <w:p w:rsidR="00CC35AD" w:rsidRDefault="00CC35AD" w:rsidP="00CC35AD">
      <w:pPr>
        <w:pStyle w:val="ListParagraph"/>
        <w:numPr>
          <w:ilvl w:val="0"/>
          <w:numId w:val="13"/>
        </w:numPr>
        <w:spacing w:after="0"/>
        <w:ind w:left="1701"/>
        <w:jc w:val="both"/>
        <w:rPr>
          <w:lang w:val="uk-UA"/>
        </w:rPr>
      </w:pPr>
      <w:r>
        <w:rPr>
          <w:lang w:val="uk-UA"/>
        </w:rPr>
        <w:t>З</w:t>
      </w:r>
      <w:r w:rsidRPr="00CC35AD">
        <w:rPr>
          <w:lang w:val="uk-UA"/>
        </w:rPr>
        <w:t>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 загальної суми доходу суб'єкта аудиторської діяльності від надання аудиторських послуг;</w:t>
      </w:r>
    </w:p>
    <w:p w:rsidR="00CC35AD" w:rsidRDefault="00CC35AD" w:rsidP="00CC35AD">
      <w:pPr>
        <w:pStyle w:val="ListParagraph"/>
        <w:numPr>
          <w:ilvl w:val="0"/>
          <w:numId w:val="13"/>
        </w:numPr>
        <w:spacing w:after="0"/>
        <w:ind w:left="1701"/>
        <w:jc w:val="both"/>
        <w:rPr>
          <w:lang w:val="uk-UA"/>
        </w:rPr>
      </w:pPr>
      <w:r>
        <w:rPr>
          <w:lang w:val="uk-UA"/>
        </w:rPr>
        <w:t>А</w:t>
      </w:r>
      <w:r w:rsidRPr="00CC35AD">
        <w:rPr>
          <w:lang w:val="uk-UA"/>
        </w:rPr>
        <w:t>уд</w:t>
      </w:r>
      <w:r w:rsidRPr="00492B2F">
        <w:rPr>
          <w:lang w:val="uk-UA"/>
        </w:rPr>
        <w:t>иторська</w:t>
      </w:r>
      <w:r>
        <w:rPr>
          <w:lang w:val="uk-UA"/>
        </w:rPr>
        <w:t xml:space="preserve"> фірма</w:t>
      </w:r>
      <w:r w:rsidRPr="00CC35AD">
        <w:rPr>
          <w:lang w:val="uk-UA"/>
        </w:rPr>
        <w:t xml:space="preserve"> не ма</w:t>
      </w:r>
      <w:r>
        <w:rPr>
          <w:lang w:val="uk-UA"/>
        </w:rPr>
        <w:t>є</w:t>
      </w:r>
      <w:r w:rsidRPr="00CC35AD">
        <w:rPr>
          <w:lang w:val="uk-UA"/>
        </w:rPr>
        <w:t xml:space="preserve"> обмежень, які пов'язані з тривалістю надання послуг </w:t>
      </w:r>
      <w:r>
        <w:rPr>
          <w:lang w:val="uk-UA"/>
        </w:rPr>
        <w:t>Банку</w:t>
      </w:r>
      <w:r w:rsidRPr="00CC35AD">
        <w:rPr>
          <w:lang w:val="uk-UA"/>
        </w:rPr>
        <w:t>;</w:t>
      </w:r>
    </w:p>
    <w:p w:rsidR="00057F39" w:rsidRPr="00644C59" w:rsidRDefault="00057F39" w:rsidP="00CC35AD">
      <w:pPr>
        <w:pStyle w:val="ListParagraph"/>
        <w:numPr>
          <w:ilvl w:val="0"/>
          <w:numId w:val="13"/>
        </w:numPr>
        <w:spacing w:after="0"/>
        <w:ind w:left="1701"/>
        <w:jc w:val="both"/>
        <w:rPr>
          <w:lang w:val="uk-UA"/>
        </w:rPr>
      </w:pPr>
      <w:r w:rsidRPr="00057F39">
        <w:rPr>
          <w:lang w:val="uk-UA"/>
        </w:rPr>
        <w:t xml:space="preserve">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w:t>
      </w:r>
      <w:r>
        <w:rPr>
          <w:lang w:val="uk-UA"/>
        </w:rPr>
        <w:t>про аудит</w:t>
      </w:r>
      <w:r w:rsidRPr="00057F39">
        <w:rPr>
          <w:lang w:val="uk-UA"/>
        </w:rPr>
        <w:t>.</w:t>
      </w:r>
    </w:p>
    <w:p w:rsidR="004141D4" w:rsidRDefault="00644C59" w:rsidP="00CC35AD">
      <w:pPr>
        <w:pStyle w:val="ListParagraph"/>
        <w:numPr>
          <w:ilvl w:val="0"/>
          <w:numId w:val="13"/>
        </w:numPr>
        <w:spacing w:after="0"/>
        <w:ind w:left="1701"/>
        <w:jc w:val="both"/>
        <w:rPr>
          <w:lang w:val="uk-UA"/>
        </w:rPr>
      </w:pPr>
      <w:r w:rsidRPr="00644C59">
        <w:rPr>
          <w:lang w:val="uk-UA"/>
        </w:rPr>
        <w:t>Вартість аудиторських послуг.</w:t>
      </w:r>
    </w:p>
    <w:p w:rsidR="00057F39" w:rsidRDefault="00057F39" w:rsidP="00057F39">
      <w:pPr>
        <w:spacing w:after="0"/>
        <w:ind w:left="1134" w:hanging="425"/>
        <w:jc w:val="both"/>
        <w:rPr>
          <w:lang w:val="uk-UA"/>
        </w:rPr>
      </w:pPr>
      <w:r w:rsidRPr="00057F39">
        <w:rPr>
          <w:lang w:val="uk-UA"/>
        </w:rPr>
        <w:t>3.2.</w:t>
      </w:r>
      <w:r w:rsidRPr="00057F39">
        <w:rPr>
          <w:lang w:val="ru-RU"/>
        </w:rPr>
        <w:t xml:space="preserve"> </w:t>
      </w:r>
      <w:r w:rsidRPr="00057F39">
        <w:rPr>
          <w:lang w:val="uk-UA"/>
        </w:rPr>
        <w:t>Вимоги та критерії залучення аудиторськ</w:t>
      </w:r>
      <w:r>
        <w:rPr>
          <w:lang w:val="uk-UA"/>
        </w:rPr>
        <w:t>их фірм</w:t>
      </w:r>
      <w:r w:rsidRPr="00057F39">
        <w:rPr>
          <w:lang w:val="uk-UA"/>
        </w:rPr>
        <w:t xml:space="preserve"> конкретизуються в</w:t>
      </w:r>
      <w:r>
        <w:rPr>
          <w:lang w:val="uk-UA"/>
        </w:rPr>
        <w:t xml:space="preserve"> оголошенні про проведення Конкурсу або у конкурсній</w:t>
      </w:r>
      <w:r w:rsidRPr="00057F39">
        <w:rPr>
          <w:lang w:val="uk-UA"/>
        </w:rPr>
        <w:t xml:space="preserve"> документації.</w:t>
      </w:r>
    </w:p>
    <w:p w:rsidR="00057F39" w:rsidRPr="00057F39" w:rsidRDefault="00057F39" w:rsidP="00057F39">
      <w:pPr>
        <w:pStyle w:val="ListParagraph"/>
        <w:numPr>
          <w:ilvl w:val="0"/>
          <w:numId w:val="1"/>
        </w:numPr>
        <w:spacing w:after="0"/>
        <w:jc w:val="both"/>
        <w:rPr>
          <w:lang w:val="uk-UA"/>
        </w:rPr>
      </w:pPr>
      <w:r>
        <w:rPr>
          <w:b/>
          <w:lang w:val="uk-UA"/>
        </w:rPr>
        <w:lastRenderedPageBreak/>
        <w:t>Заключні положення.</w:t>
      </w:r>
    </w:p>
    <w:p w:rsidR="00057F39" w:rsidRPr="00756AB1" w:rsidRDefault="00057F39" w:rsidP="00435CE0">
      <w:pPr>
        <w:pStyle w:val="ListParagraph"/>
        <w:spacing w:after="0"/>
        <w:ind w:left="1276" w:hanging="709"/>
        <w:jc w:val="both"/>
        <w:rPr>
          <w:lang w:val="uk-UA"/>
        </w:rPr>
      </w:pPr>
      <w:r>
        <w:rPr>
          <w:lang w:val="uk-UA"/>
        </w:rPr>
        <w:t xml:space="preserve">    4.1.  </w:t>
      </w:r>
      <w:r w:rsidRPr="00756AB1">
        <w:rPr>
          <w:lang w:val="uk-UA"/>
        </w:rPr>
        <w:t xml:space="preserve">Цей Порядок набирає чинності з моменту його затвердження рішенням Наглядової </w:t>
      </w:r>
      <w:r w:rsidRPr="002C524D">
        <w:rPr>
          <w:lang w:val="uk-UA"/>
        </w:rPr>
        <w:t xml:space="preserve">ради </w:t>
      </w:r>
      <w:r w:rsidRPr="00756AB1">
        <w:rPr>
          <w:lang w:val="uk-UA"/>
        </w:rPr>
        <w:t>Банку та є чинним до моменту його скасування або до прийняття нового внутрішнього документу, який регулює аналогічні питання, в порядку, встановленому</w:t>
      </w:r>
      <w:r w:rsidR="00435CE0" w:rsidRPr="00756AB1">
        <w:rPr>
          <w:lang w:val="uk-UA"/>
        </w:rPr>
        <w:t xml:space="preserve"> </w:t>
      </w:r>
      <w:r w:rsidRPr="00756AB1">
        <w:rPr>
          <w:lang w:val="uk-UA"/>
        </w:rPr>
        <w:t xml:space="preserve">статутом, внутрішніми документами </w:t>
      </w:r>
      <w:r w:rsidR="00435CE0" w:rsidRPr="00756AB1">
        <w:rPr>
          <w:lang w:val="uk-UA"/>
        </w:rPr>
        <w:t>Банку</w:t>
      </w:r>
      <w:r w:rsidRPr="00756AB1">
        <w:rPr>
          <w:lang w:val="uk-UA"/>
        </w:rPr>
        <w:t xml:space="preserve"> та чинним законодавством України.</w:t>
      </w:r>
    </w:p>
    <w:p w:rsidR="00435CE0" w:rsidRPr="00D23F84" w:rsidRDefault="00435CE0" w:rsidP="00435CE0">
      <w:pPr>
        <w:pStyle w:val="ListParagraph"/>
        <w:spacing w:after="0"/>
        <w:ind w:left="1276" w:hanging="709"/>
        <w:jc w:val="both"/>
        <w:rPr>
          <w:lang w:val="uk-UA"/>
        </w:rPr>
      </w:pPr>
      <w:r w:rsidRPr="00756AB1">
        <w:rPr>
          <w:lang w:val="uk-UA"/>
        </w:rPr>
        <w:t xml:space="preserve">4.2. </w:t>
      </w:r>
      <w:r w:rsidRPr="00D23F84">
        <w:rPr>
          <w:lang w:val="uk-UA"/>
        </w:rPr>
        <w:t>У разі невідповідності будь-якої частини Порядку законодавству України, в тому числі в зв'язку з прийняттям нових нормативно-правових актів або удосконалення чинних, Порядок буде діяти лише в тій частині, що не суперечитиме законодавству України.</w:t>
      </w:r>
    </w:p>
    <w:p w:rsidR="00492B2F" w:rsidRPr="00D23F84" w:rsidRDefault="00492B2F" w:rsidP="00435CE0">
      <w:pPr>
        <w:pStyle w:val="ListParagraph"/>
        <w:spacing w:after="0"/>
        <w:ind w:left="1276" w:hanging="709"/>
        <w:jc w:val="both"/>
        <w:rPr>
          <w:lang w:val="uk-UA"/>
        </w:rPr>
      </w:pPr>
      <w:r w:rsidRPr="00D23F84">
        <w:rPr>
          <w:lang w:val="uk-UA"/>
        </w:rPr>
        <w:t xml:space="preserve">4.3. Перегляд документу відбувається </w:t>
      </w:r>
      <w:r w:rsidR="009B2A0C" w:rsidRPr="00D23F84">
        <w:rPr>
          <w:lang w:val="uk-UA"/>
        </w:rPr>
        <w:t>в разі внесення змін у законодавств</w:t>
      </w:r>
      <w:r w:rsidR="00D23F84">
        <w:rPr>
          <w:lang w:val="uk-UA"/>
        </w:rPr>
        <w:t>і</w:t>
      </w:r>
      <w:bookmarkStart w:id="0" w:name="_GoBack"/>
      <w:bookmarkEnd w:id="0"/>
      <w:r w:rsidR="009B2A0C" w:rsidRPr="00D23F84">
        <w:rPr>
          <w:lang w:val="uk-UA"/>
        </w:rPr>
        <w:t xml:space="preserve"> або в разі зміни критеріїв/ процедур Банку.</w:t>
      </w:r>
      <w:r w:rsidRPr="00D23F84">
        <w:rPr>
          <w:lang w:val="uk-UA"/>
        </w:rPr>
        <w:t xml:space="preserve"> Зміни затверджуються рішенням Наглядової ради Банку. </w:t>
      </w:r>
      <w:r w:rsidRPr="00756AB1">
        <w:rPr>
          <w:lang w:val="uk-UA"/>
        </w:rPr>
        <w:t xml:space="preserve"> </w:t>
      </w:r>
    </w:p>
    <w:sectPr w:rsidR="00492B2F" w:rsidRPr="00D23F84" w:rsidSect="004141D4">
      <w:headerReference w:type="default" r:id="rId8"/>
      <w:pgSz w:w="12240" w:h="15840"/>
      <w:pgMar w:top="850" w:right="850"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44" w:rsidRDefault="00AB2444" w:rsidP="00061196">
      <w:pPr>
        <w:spacing w:after="0" w:line="240" w:lineRule="auto"/>
      </w:pPr>
      <w:r>
        <w:separator/>
      </w:r>
    </w:p>
  </w:endnote>
  <w:endnote w:type="continuationSeparator" w:id="0">
    <w:p w:rsidR="00AB2444" w:rsidRDefault="00AB2444" w:rsidP="000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44" w:rsidRDefault="00AB2444" w:rsidP="00061196">
      <w:pPr>
        <w:spacing w:after="0" w:line="240" w:lineRule="auto"/>
      </w:pPr>
      <w:r>
        <w:separator/>
      </w:r>
    </w:p>
  </w:footnote>
  <w:footnote w:type="continuationSeparator" w:id="0">
    <w:p w:rsidR="00AB2444" w:rsidRDefault="00AB2444" w:rsidP="0006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96" w:rsidRDefault="00061196">
    <w:pPr>
      <w:pStyle w:val="Header"/>
    </w:pPr>
    <w:r w:rsidRPr="00AA16A4">
      <w:rPr>
        <w:noProof/>
        <w:lang w:val="uk-UA" w:eastAsia="uk-UA"/>
      </w:rPr>
      <w:drawing>
        <wp:inline distT="0" distB="0" distL="0" distR="0">
          <wp:extent cx="1637665" cy="485140"/>
          <wp:effectExtent l="0" t="0" r="635" b="0"/>
          <wp:docPr id="1" name="Picture 1" descr="PB-top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op_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485140"/>
                  </a:xfrm>
                  <a:prstGeom prst="rect">
                    <a:avLst/>
                  </a:prstGeom>
                  <a:noFill/>
                  <a:ln>
                    <a:noFill/>
                  </a:ln>
                </pic:spPr>
              </pic:pic>
            </a:graphicData>
          </a:graphic>
        </wp:inline>
      </w:drawing>
    </w:r>
  </w:p>
  <w:p w:rsidR="00061196" w:rsidRDefault="00061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16C1"/>
    <w:multiLevelType w:val="hybridMultilevel"/>
    <w:tmpl w:val="37064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A084C"/>
    <w:multiLevelType w:val="hybridMultilevel"/>
    <w:tmpl w:val="E1B8D090"/>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3C1D76C8"/>
    <w:multiLevelType w:val="hybridMultilevel"/>
    <w:tmpl w:val="2CE241C8"/>
    <w:lvl w:ilvl="0" w:tplc="04090013">
      <w:start w:val="1"/>
      <w:numFmt w:val="upperRoman"/>
      <w:lvlText w:val="%1."/>
      <w:lvlJc w:val="right"/>
      <w:pPr>
        <w:ind w:left="1429" w:hanging="360"/>
      </w:pPr>
    </w:lvl>
    <w:lvl w:ilvl="1" w:tplc="0409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C891B1F"/>
    <w:multiLevelType w:val="hybridMultilevel"/>
    <w:tmpl w:val="504028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4301F"/>
    <w:multiLevelType w:val="hybridMultilevel"/>
    <w:tmpl w:val="9048B328"/>
    <w:lvl w:ilvl="0" w:tplc="967EC8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1C90632"/>
    <w:multiLevelType w:val="hybridMultilevel"/>
    <w:tmpl w:val="A9A4828A"/>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46685555"/>
    <w:multiLevelType w:val="hybridMultilevel"/>
    <w:tmpl w:val="C86436D6"/>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4C7141F3"/>
    <w:multiLevelType w:val="multilevel"/>
    <w:tmpl w:val="981852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45B75D7"/>
    <w:multiLevelType w:val="multilevel"/>
    <w:tmpl w:val="349A65BE"/>
    <w:lvl w:ilvl="0">
      <w:start w:val="1"/>
      <w:numFmt w:val="decimal"/>
      <w:lvlText w:val="%1."/>
      <w:lvlJc w:val="left"/>
      <w:pPr>
        <w:ind w:left="394" w:hanging="394"/>
      </w:pPr>
      <w:rPr>
        <w:rFonts w:hint="default"/>
      </w:rPr>
    </w:lvl>
    <w:lvl w:ilvl="1">
      <w:start w:val="1"/>
      <w:numFmt w:val="decimal"/>
      <w:lvlText w:val="%1.%2."/>
      <w:lvlJc w:val="left"/>
      <w:pPr>
        <w:ind w:left="1103" w:hanging="39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1647742"/>
    <w:multiLevelType w:val="hybridMultilevel"/>
    <w:tmpl w:val="AE66EC3A"/>
    <w:lvl w:ilvl="0" w:tplc="320C86A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66022805"/>
    <w:multiLevelType w:val="hybridMultilevel"/>
    <w:tmpl w:val="363A9BEE"/>
    <w:lvl w:ilvl="0" w:tplc="01F8DB7E">
      <w:start w:val="1"/>
      <w:numFmt w:val="decimal"/>
      <w:lvlText w:val="%1."/>
      <w:lvlJc w:val="left"/>
      <w:pPr>
        <w:ind w:left="870" w:hanging="510"/>
      </w:pPr>
      <w:rPr>
        <w:rFonts w:hint="default"/>
      </w:rPr>
    </w:lvl>
    <w:lvl w:ilvl="1" w:tplc="78DABD8E">
      <w:start w:val="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C16A2"/>
    <w:multiLevelType w:val="hybridMultilevel"/>
    <w:tmpl w:val="EAD23B60"/>
    <w:lvl w:ilvl="0" w:tplc="78DABD8E">
      <w:start w:val="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CB46299"/>
    <w:multiLevelType w:val="hybridMultilevel"/>
    <w:tmpl w:val="CA34D92E"/>
    <w:lvl w:ilvl="0" w:tplc="04090013">
      <w:start w:val="1"/>
      <w:numFmt w:val="upperRoman"/>
      <w:lvlText w:val="%1."/>
      <w:lvlJc w:val="righ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0"/>
  </w:num>
  <w:num w:numId="2">
    <w:abstractNumId w:val="5"/>
  </w:num>
  <w:num w:numId="3">
    <w:abstractNumId w:val="4"/>
  </w:num>
  <w:num w:numId="4">
    <w:abstractNumId w:val="6"/>
  </w:num>
  <w:num w:numId="5">
    <w:abstractNumId w:val="1"/>
  </w:num>
  <w:num w:numId="6">
    <w:abstractNumId w:val="9"/>
  </w:num>
  <w:num w:numId="7">
    <w:abstractNumId w:val="0"/>
  </w:num>
  <w:num w:numId="8">
    <w:abstractNumId w:val="3"/>
  </w:num>
  <w:num w:numId="9">
    <w:abstractNumId w:val="12"/>
  </w:num>
  <w:num w:numId="10">
    <w:abstractNumId w:val="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4"/>
    <w:rsid w:val="00057F39"/>
    <w:rsid w:val="00061196"/>
    <w:rsid w:val="0006315E"/>
    <w:rsid w:val="000B5827"/>
    <w:rsid w:val="0013561A"/>
    <w:rsid w:val="001E76D8"/>
    <w:rsid w:val="002409B3"/>
    <w:rsid w:val="002A4897"/>
    <w:rsid w:val="002C524D"/>
    <w:rsid w:val="002D164B"/>
    <w:rsid w:val="003D5D14"/>
    <w:rsid w:val="004141D4"/>
    <w:rsid w:val="00435CE0"/>
    <w:rsid w:val="00482C42"/>
    <w:rsid w:val="00492B2F"/>
    <w:rsid w:val="004D2E64"/>
    <w:rsid w:val="005A746F"/>
    <w:rsid w:val="005B1E85"/>
    <w:rsid w:val="005E4A15"/>
    <w:rsid w:val="00644C59"/>
    <w:rsid w:val="00692BD4"/>
    <w:rsid w:val="007461D5"/>
    <w:rsid w:val="00756AB1"/>
    <w:rsid w:val="008139A3"/>
    <w:rsid w:val="00857779"/>
    <w:rsid w:val="00857923"/>
    <w:rsid w:val="00930DBF"/>
    <w:rsid w:val="00940095"/>
    <w:rsid w:val="00964A4F"/>
    <w:rsid w:val="009820C3"/>
    <w:rsid w:val="009B2A0C"/>
    <w:rsid w:val="009E69A3"/>
    <w:rsid w:val="00AB0097"/>
    <w:rsid w:val="00AB2444"/>
    <w:rsid w:val="00BC0251"/>
    <w:rsid w:val="00C7343B"/>
    <w:rsid w:val="00CC35AD"/>
    <w:rsid w:val="00D23F84"/>
    <w:rsid w:val="00D536AD"/>
    <w:rsid w:val="00DE2C59"/>
    <w:rsid w:val="00EE50E9"/>
    <w:rsid w:val="00F32A49"/>
    <w:rsid w:val="00FA29E5"/>
    <w:rsid w:val="00FD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D01A62D-018C-4163-AA13-60BD6E78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1D4"/>
    <w:pPr>
      <w:ind w:left="720"/>
      <w:contextualSpacing/>
    </w:pPr>
  </w:style>
  <w:style w:type="character" w:styleId="Hyperlink">
    <w:name w:val="Hyperlink"/>
    <w:basedOn w:val="DefaultParagraphFont"/>
    <w:uiPriority w:val="99"/>
    <w:unhideWhenUsed/>
    <w:rsid w:val="008139A3"/>
    <w:rPr>
      <w:color w:val="0563C1" w:themeColor="hyperlink"/>
      <w:u w:val="single"/>
    </w:rPr>
  </w:style>
  <w:style w:type="paragraph" w:styleId="Header">
    <w:name w:val="header"/>
    <w:basedOn w:val="Normal"/>
    <w:link w:val="HeaderChar"/>
    <w:uiPriority w:val="99"/>
    <w:unhideWhenUsed/>
    <w:rsid w:val="00061196"/>
    <w:pPr>
      <w:tabs>
        <w:tab w:val="center" w:pos="4986"/>
        <w:tab w:val="right" w:pos="9973"/>
      </w:tabs>
      <w:spacing w:after="0" w:line="240" w:lineRule="auto"/>
    </w:pPr>
  </w:style>
  <w:style w:type="character" w:customStyle="1" w:styleId="HeaderChar">
    <w:name w:val="Header Char"/>
    <w:basedOn w:val="DefaultParagraphFont"/>
    <w:link w:val="Header"/>
    <w:uiPriority w:val="99"/>
    <w:rsid w:val="00061196"/>
  </w:style>
  <w:style w:type="paragraph" w:styleId="Footer">
    <w:name w:val="footer"/>
    <w:basedOn w:val="Normal"/>
    <w:link w:val="FooterChar"/>
    <w:uiPriority w:val="99"/>
    <w:unhideWhenUsed/>
    <w:rsid w:val="00061196"/>
    <w:pPr>
      <w:tabs>
        <w:tab w:val="center" w:pos="4986"/>
        <w:tab w:val="right" w:pos="9973"/>
      </w:tabs>
      <w:spacing w:after="0" w:line="240" w:lineRule="auto"/>
    </w:pPr>
  </w:style>
  <w:style w:type="character" w:customStyle="1" w:styleId="FooterChar">
    <w:name w:val="Footer Char"/>
    <w:basedOn w:val="DefaultParagraphFont"/>
    <w:link w:val="Footer"/>
    <w:uiPriority w:val="99"/>
    <w:rsid w:val="00061196"/>
  </w:style>
  <w:style w:type="paragraph" w:styleId="BalloonText">
    <w:name w:val="Balloon Text"/>
    <w:basedOn w:val="Normal"/>
    <w:link w:val="BalloonTextChar"/>
    <w:uiPriority w:val="99"/>
    <w:semiHidden/>
    <w:unhideWhenUsed/>
    <w:rsid w:val="00492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raeusban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4840</Words>
  <Characters>2760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Kvasha Vitaliy</dc:creator>
  <cp:keywords/>
  <dc:description/>
  <cp:lastModifiedBy>Vasilyeva Tatyana</cp:lastModifiedBy>
  <cp:revision>3</cp:revision>
  <dcterms:created xsi:type="dcterms:W3CDTF">2019-09-02T08:35:00Z</dcterms:created>
  <dcterms:modified xsi:type="dcterms:W3CDTF">2019-09-02T08:36:00Z</dcterms:modified>
</cp:coreProperties>
</file>