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360" w:lineRule="auto"/>
        <w:rPr>
          <w:rFonts w:ascii="Arial" w:cs="Arial" w:eastAsia="Arial" w:hAnsi="Arial"/>
          <w:b w:val="1"/>
          <w:color w:val="002060"/>
          <w:sz w:val="20"/>
          <w:szCs w:val="20"/>
        </w:rPr>
      </w:pPr>
      <w:r w:rsidDel="00000000" w:rsidR="00000000" w:rsidRPr="00000000">
        <w:br w:type="page"/>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18415</wp:posOffset>
                </wp:positionV>
                <wp:extent cx="6389649" cy="9122410"/>
                <wp:effectExtent b="40640" l="19050" r="30480" t="19050"/>
                <wp:wrapNone/>
                <wp:docPr id="1" name=""/>
                <a:graphic>
                  <a:graphicData uri="http://schemas.microsoft.com/office/word/2010/wordprocessingShape">
                    <wps:wsp>
                      <wps:cNvSpPr>
                        <a:spLocks noChangeArrowheads="1"/>
                      </wps:cNvSpPr>
                      <wps:spPr bwMode="auto">
                        <a:xfrm>
                          <a:off x="0" y="0"/>
                          <a:ext cx="6389649" cy="9122410"/>
                        </a:xfrm>
                        <a:prstGeom prst="flowChartProcess">
                          <a:avLst/>
                        </a:prstGeom>
                        <a:solidFill>
                          <a:srgbClr val="FFFFFF"/>
                        </a:solidFill>
                        <a:ln cmpd="thinThick" w="57150">
                          <a:solidFill>
                            <a:srgbClr val="002060"/>
                          </a:solidFill>
                          <a:miter lim="800000"/>
                          <a:headEnd/>
                          <a:tailEnd/>
                        </a:ln>
                      </wps:spPr>
                      <wps:txbx>
                        <w:txbxContent>
                          <w:p w:rsidR="00940570" w:rsidDel="00000000" w:rsidP="00F53AA7" w:rsidRDefault="00940570" w:rsidRPr="00B45F0D" w14:paraId="79236DB5" w14:textId="77777777">
                            <w:pPr>
                              <w:pStyle w:val="HEAD1"/>
                              <w:jc w:val="both"/>
                              <w:rPr>
                                <w:b w:val="0"/>
                                <w:color w:val="002060"/>
                                <w:lang w:val="uk-UA"/>
                              </w:rPr>
                            </w:pPr>
                            <w:r w:rsidDel="00000000" w:rsidR="00000000" w:rsidRPr="00B45F0D">
                              <w:rPr>
                                <w:noProof w:val="1"/>
                                <w:color w:val="002060"/>
                                <w:lang w:eastAsia="uk-UA" w:val="uk-UA"/>
                              </w:rPr>
                              <w:drawing>
                                <wp:inline distB="0" distT="0" distL="0" distR="0">
                                  <wp:extent cx="1137285" cy="390525"/>
                                  <wp:effectExtent b="9525" l="0" r="5715" t="0"/>
                                  <wp:docPr id="6" name="Picture 2"/>
                                  <wp:cNvGraphicFramePr>
                                    <a:graphicFrameLocks noChangeAspect="1"/>
                                  </wp:cNvGraphicFramePr>
                                  <a:graphic>
                                    <a:graphicData uri="http://schemas.openxmlformats.org/drawingml/2006/picture">
                                      <pic:pic>
                                        <pic:nvPicPr>
                                          <pic:cNvPr id="0" name="Picture 5"/>
                                          <pic:cNvPicPr>
                                            <a:picLocks noChangeAspect="1" noChangeArrowheads="1"/>
                                          </pic:cNvPicPr>
                                        </pic:nvPicPr>
                                        <pic:blipFill>
                                          <a:blip r:embed="rId1">
                                            <a:extLst>
                                              <a:ext uri="{28A0092B-C50C-407E-A947-70E740481C1C}"/>
                                            </a:extLst>
                                          </a:blip>
                                          <a:srcRect b="17076" l="6847" r="21318" t="12820"/>
                                          <a:stretch>
                                            <a:fillRect/>
                                          </a:stretch>
                                        </pic:blipFill>
                                        <pic:spPr bwMode="auto">
                                          <a:xfrm>
                                            <a:off x="0" y="0"/>
                                            <a:ext cx="1137285" cy="390525"/>
                                          </a:xfrm>
                                          <a:prstGeom prst="rect">
                                            <a:avLst/>
                                          </a:prstGeom>
                                          <a:noFill/>
                                          <a:ln>
                                            <a:noFill/>
                                          </a:ln>
                                        </pic:spPr>
                                      </pic:pic>
                                    </a:graphicData>
                                  </a:graphic>
                                </wp:inline>
                              </w:drawing>
                            </w:r>
                          </w:p>
                          <w:p w:rsidR="00940570" w:rsidDel="00000000" w:rsidP="00F53AA7" w:rsidRDefault="00940570" w:rsidRPr="00B45F0D" w14:paraId="5F34AA32" w14:textId="77777777">
                            <w:pPr>
                              <w:pStyle w:val="HEAD1"/>
                              <w:jc w:val="both"/>
                              <w:rPr>
                                <w:b w:val="0"/>
                                <w:color w:val="002060"/>
                                <w:lang w:val="uk-UA"/>
                              </w:rPr>
                            </w:pPr>
                          </w:p>
                          <w:p w:rsidR="00940570" w:rsidDel="00000000" w:rsidP="00F53AA7" w:rsidRDefault="00940570" w:rsidRPr="00B45F0D" w14:paraId="02721A4F" w14:textId="5FE3335E">
                            <w:pPr>
                              <w:pStyle w:val="HEAD1"/>
                              <w:jc w:val="both"/>
                              <w:rPr>
                                <w:b w:val="0"/>
                                <w:color w:val="002060"/>
                                <w:lang w:val="uk-UA"/>
                              </w:rPr>
                            </w:pPr>
                          </w:p>
                          <w:p w:rsidR="00940570" w:rsidDel="00000000" w:rsidP="00F53AA7" w:rsidRDefault="00940570" w:rsidRPr="00B45F0D" w14:paraId="6E67E984" w14:textId="51706518">
                            <w:pPr>
                              <w:pStyle w:val="HEAD1"/>
                              <w:jc w:val="both"/>
                              <w:rPr>
                                <w:color w:val="002060"/>
                                <w:lang w:val="uk-UA"/>
                              </w:rPr>
                            </w:pPr>
                          </w:p>
                          <w:p w:rsidR="00940570" w:rsidDel="00000000" w:rsidP="00F53AA7" w:rsidRDefault="00940570" w:rsidRPr="00B45F0D" w14:paraId="23765C3A" w14:textId="77777777">
                            <w:pPr>
                              <w:pStyle w:val="HEAD1"/>
                              <w:ind w:left="5664" w:firstLine="708"/>
                              <w:jc w:val="right"/>
                              <w:rPr>
                                <w:b w:val="0"/>
                                <w:color w:val="002060"/>
                                <w:sz w:val="22"/>
                                <w:lang w:val="uk-UA"/>
                              </w:rPr>
                            </w:pPr>
                            <w:r w:rsidDel="00000000" w:rsidR="00000000" w:rsidRPr="00B45F0D">
                              <w:rPr>
                                <w:b w:val="0"/>
                                <w:bCs w:val="0"/>
                                <w:color w:val="002060"/>
                                <w:sz w:val="22"/>
                                <w:lang w:val="uk-UA"/>
                              </w:rPr>
                              <w:t>«ЗАТВЕРДЖЕНО»</w:t>
                            </w:r>
                            <w:r w:rsidDel="00000000" w:rsidR="00000000" w:rsidRPr="00B45F0D">
                              <w:rPr>
                                <w:b w:val="0"/>
                                <w:color w:val="002060"/>
                                <w:sz w:val="22"/>
                                <w:lang w:val="uk-UA"/>
                              </w:rPr>
                              <w:t xml:space="preserve"> </w:t>
                            </w:r>
                          </w:p>
                          <w:p w:rsidR="00940570" w:rsidDel="00000000" w:rsidP="00F53AA7" w:rsidRDefault="00940570" w:rsidRPr="00B45F0D" w14:paraId="0EBCDD70" w14:textId="77777777">
                            <w:pPr>
                              <w:pStyle w:val="HEAD1"/>
                              <w:ind w:left="5664" w:firstLine="708"/>
                              <w:jc w:val="right"/>
                              <w:rPr>
                                <w:b w:val="0"/>
                                <w:color w:val="002060"/>
                                <w:sz w:val="22"/>
                                <w:lang w:val="uk-UA"/>
                              </w:rPr>
                            </w:pPr>
                            <w:r w:rsidDel="00000000" w:rsidR="00000000" w:rsidRPr="00B45F0D">
                              <w:rPr>
                                <w:b w:val="0"/>
                                <w:color w:val="002060"/>
                                <w:sz w:val="22"/>
                                <w:lang w:val="uk-UA"/>
                              </w:rPr>
                              <w:t xml:space="preserve">Засіданням Наглядової Ради </w:t>
                            </w:r>
                          </w:p>
                          <w:p w:rsidR="00940570" w:rsidDel="00000000" w:rsidP="00F53AA7" w:rsidRDefault="00940570" w:rsidRPr="00B45F0D" w14:paraId="7E87C649" w14:textId="77777777">
                            <w:pPr>
                              <w:pStyle w:val="HEAD1"/>
                              <w:ind w:left="5664" w:firstLine="708"/>
                              <w:jc w:val="right"/>
                              <w:rPr>
                                <w:b w:val="0"/>
                                <w:color w:val="002060"/>
                                <w:sz w:val="22"/>
                                <w:lang w:val="uk-UA"/>
                              </w:rPr>
                            </w:pPr>
                            <w:r w:rsidDel="00000000" w:rsidR="00000000" w:rsidRPr="00B45F0D">
                              <w:rPr>
                                <w:b w:val="0"/>
                                <w:color w:val="002060"/>
                                <w:sz w:val="22"/>
                                <w:lang w:val="uk-UA"/>
                              </w:rPr>
                              <w:t xml:space="preserve">АТ «ПІРЕУС БАНК МКБ» </w:t>
                            </w:r>
                          </w:p>
                          <w:p w:rsidR="00940570" w:rsidDel="00000000" w:rsidP="00F53AA7" w:rsidRDefault="00940570" w:rsidRPr="002436F5" w14:paraId="39CECBFE" w14:textId="22922A00">
                            <w:pPr>
                              <w:pStyle w:val="HEAD1"/>
                              <w:ind w:left="5664" w:firstLine="708"/>
                              <w:jc w:val="right"/>
                              <w:rPr>
                                <w:b w:val="0"/>
                                <w:bCs w:val="0"/>
                                <w:color w:val="002060"/>
                                <w:lang w:val="uk-UA"/>
                              </w:rPr>
                            </w:pPr>
                            <w:r w:rsidDel="00000000" w:rsidR="00000000" w:rsidRPr="00B45F0D">
                              <w:rPr>
                                <w:b w:val="0"/>
                                <w:color w:val="002060"/>
                                <w:sz w:val="22"/>
                                <w:lang w:val="uk-UA"/>
                              </w:rPr>
                              <w:t xml:space="preserve">протокол </w:t>
                            </w:r>
                            <w:r w:rsidDel="00000000" w:rsidR="00000000" w:rsidRPr="002436F5">
                              <w:rPr>
                                <w:b w:val="0"/>
                                <w:color w:val="002060"/>
                                <w:sz w:val="22"/>
                                <w:lang w:val="uk-UA"/>
                              </w:rPr>
                              <w:t xml:space="preserve">№ </w:t>
                            </w:r>
                            <w:r w:rsidDel="00000000" w:rsidR="002436F5" w:rsidRPr="00000000">
                              <w:rPr>
                                <w:b w:val="0"/>
                                <w:color w:val="002060"/>
                                <w:sz w:val="22"/>
                                <w:lang w:val="uk-UA"/>
                              </w:rPr>
                              <w:t>17_</w:t>
                            </w:r>
                            <w:r w:rsidDel="00000000" w:rsidR="00751145" w:rsidRPr="002436F5">
                              <w:rPr>
                                <w:b w:val="0"/>
                                <w:color w:val="002060"/>
                                <w:sz w:val="22"/>
                                <w:lang w:val="uk-UA"/>
                              </w:rPr>
                              <w:t>23</w:t>
                            </w:r>
                            <w:r w:rsidDel="00000000" w:rsidR="00000000" w:rsidRPr="002436F5">
                              <w:rPr>
                                <w:b w:val="0"/>
                                <w:color w:val="002060"/>
                                <w:sz w:val="22"/>
                                <w:lang w:val="uk-UA"/>
                              </w:rPr>
                              <w:t xml:space="preserve"> від </w:t>
                            </w:r>
                            <w:r w:rsidDel="00000000" w:rsidR="002436F5" w:rsidRPr="00000000">
                              <w:rPr>
                                <w:b w:val="0"/>
                                <w:color w:val="002060"/>
                                <w:sz w:val="22"/>
                                <w:lang w:val="uk-UA"/>
                              </w:rPr>
                              <w:t>19</w:t>
                            </w:r>
                            <w:r w:rsidDel="00000000" w:rsidR="00000000" w:rsidRPr="002436F5">
                              <w:rPr>
                                <w:b w:val="0"/>
                                <w:color w:val="002060"/>
                                <w:sz w:val="22"/>
                                <w:lang w:val="uk-UA"/>
                              </w:rPr>
                              <w:t>.</w:t>
                            </w:r>
                            <w:r w:rsidDel="00000000" w:rsidR="002436F5" w:rsidRPr="00000000">
                              <w:rPr>
                                <w:b w:val="0"/>
                                <w:color w:val="002060"/>
                                <w:sz w:val="22"/>
                                <w:lang w:val="uk-UA"/>
                              </w:rPr>
                              <w:t>1</w:t>
                            </w:r>
                            <w:r w:rsidDel="00000000" w:rsidR="00611BCB" w:rsidRPr="002436F5">
                              <w:rPr>
                                <w:b w:val="0"/>
                                <w:color w:val="002060"/>
                                <w:sz w:val="22"/>
                                <w:lang w:val="uk-UA"/>
                              </w:rPr>
                              <w:t>2.2023</w:t>
                            </w:r>
                            <w:r w:rsidDel="00000000" w:rsidR="00000000" w:rsidRPr="002436F5">
                              <w:rPr>
                                <w:b w:val="0"/>
                                <w:color w:val="002060"/>
                                <w:sz w:val="22"/>
                                <w:lang w:val="uk-UA"/>
                              </w:rPr>
                              <w:t xml:space="preserve"> </w:t>
                            </w:r>
                            <w:r w:rsidDel="00000000" w:rsidR="00000000" w:rsidRPr="002436F5">
                              <w:rPr>
                                <w:b w:val="0"/>
                                <w:color w:val="002060"/>
                                <w:lang w:val="uk-UA"/>
                              </w:rPr>
                              <w:t>р.</w:t>
                            </w:r>
                            <w:r w:rsidDel="00000000" w:rsidR="00000000" w:rsidRPr="002436F5">
                              <w:rPr>
                                <w:b w:val="0"/>
                                <w:bCs w:val="0"/>
                                <w:color w:val="002060"/>
                                <w:lang w:val="uk-UA"/>
                              </w:rPr>
                              <w:t xml:space="preserve"> </w:t>
                            </w:r>
                          </w:p>
                          <w:p w:rsidR="00940570" w:rsidDel="00000000" w:rsidP="00F53AA7" w:rsidRDefault="00940570" w:rsidRPr="002436F5" w14:paraId="4D749149" w14:textId="77777777">
                            <w:pPr>
                              <w:pStyle w:val="HEAD1"/>
                              <w:jc w:val="both"/>
                              <w:rPr>
                                <w:b w:val="0"/>
                                <w:color w:val="002060"/>
                                <w:lang w:val="uk-UA"/>
                              </w:rPr>
                            </w:pPr>
                          </w:p>
                          <w:p w:rsidR="00940570" w:rsidDel="00000000" w:rsidP="00F53AA7" w:rsidRDefault="00940570" w:rsidRPr="00B45F0D" w14:paraId="0BF67856" w14:textId="77777777">
                            <w:pPr>
                              <w:pStyle w:val="HEAD1"/>
                              <w:jc w:val="both"/>
                              <w:rPr>
                                <w:color w:val="002060"/>
                                <w:lang w:val="uk-UA"/>
                              </w:rPr>
                            </w:pPr>
                          </w:p>
                          <w:p w:rsidR="00940570" w:rsidDel="00000000" w:rsidP="00F53AA7" w:rsidRDefault="00940570" w:rsidRPr="00B45F0D" w14:paraId="0973346B" w14:textId="77777777">
                            <w:pPr>
                              <w:pStyle w:val="HEAD1"/>
                              <w:jc w:val="both"/>
                              <w:rPr>
                                <w:color w:val="002060"/>
                                <w:lang w:val="uk-UA"/>
                              </w:rPr>
                            </w:pPr>
                          </w:p>
                          <w:p w:rsidR="00940570" w:rsidDel="00000000" w:rsidP="00F53AA7" w:rsidRDefault="00940570" w:rsidRPr="00B45F0D" w14:paraId="23AE90B0" w14:textId="77777777">
                            <w:pPr>
                              <w:pStyle w:val="HEAD1"/>
                              <w:jc w:val="both"/>
                              <w:rPr>
                                <w:color w:val="002060"/>
                                <w:lang w:val="uk-UA"/>
                              </w:rPr>
                            </w:pPr>
                          </w:p>
                          <w:p w:rsidR="00940570" w:rsidDel="00000000" w:rsidP="00F53AA7" w:rsidRDefault="00940570" w:rsidRPr="00B45F0D" w14:paraId="7AF18308" w14:textId="77777777">
                            <w:pPr>
                              <w:pStyle w:val="HEAD1"/>
                              <w:jc w:val="both"/>
                              <w:rPr>
                                <w:color w:val="002060"/>
                                <w:lang w:val="uk-UA"/>
                              </w:rPr>
                            </w:pPr>
                          </w:p>
                          <w:p w:rsidR="00940570" w:rsidDel="00000000" w:rsidP="00F53AA7" w:rsidRDefault="00940570" w:rsidRPr="00B45F0D" w14:paraId="1E3CB49B" w14:textId="77777777">
                            <w:pPr>
                              <w:pStyle w:val="HEAD1"/>
                              <w:jc w:val="both"/>
                              <w:rPr>
                                <w:color w:val="002060"/>
                                <w:sz w:val="32"/>
                                <w:lang w:val="uk-UA"/>
                              </w:rPr>
                            </w:pPr>
                          </w:p>
                          <w:p w:rsidR="00940570" w:rsidDel="00000000" w:rsidP="003733B3" w:rsidRDefault="00940570" w:rsidRPr="00B45F0D" w14:paraId="19E96AF6" w14:textId="77777777">
                            <w:pPr>
                              <w:pStyle w:val="HEAD1"/>
                              <w:spacing w:line="360" w:lineRule="auto"/>
                              <w:jc w:val="center"/>
                              <w:rPr>
                                <w:color w:val="002060"/>
                                <w:sz w:val="28"/>
                                <w:szCs w:val="28"/>
                                <w:lang w:val="uk-UA"/>
                              </w:rPr>
                            </w:pPr>
                            <w:r w:rsidDel="00000000" w:rsidR="00000000" w:rsidRPr="00B45F0D">
                              <w:rPr>
                                <w:color w:val="002060"/>
                                <w:sz w:val="28"/>
                                <w:szCs w:val="28"/>
                                <w:lang w:val="uk-UA"/>
                              </w:rPr>
                              <w:t>ПОЛІТИКА АТ «ПІРЕУС БАНК МКБ»</w:t>
                            </w:r>
                          </w:p>
                          <w:p w:rsidR="00940570" w:rsidDel="00000000" w:rsidP="003733B3" w:rsidRDefault="00940570" w:rsidRPr="00B45F0D" w14:paraId="2AB9323D" w14:textId="77777777">
                            <w:pPr>
                              <w:pStyle w:val="HEAD1"/>
                              <w:spacing w:line="360" w:lineRule="auto"/>
                              <w:jc w:val="center"/>
                              <w:rPr>
                                <w:color w:val="002060"/>
                                <w:sz w:val="28"/>
                                <w:szCs w:val="28"/>
                                <w:lang w:val="uk-UA"/>
                              </w:rPr>
                            </w:pPr>
                            <w:r w:rsidDel="00000000" w:rsidR="00000000" w:rsidRPr="00B45F0D">
                              <w:rPr>
                                <w:color w:val="002060"/>
                                <w:sz w:val="28"/>
                                <w:szCs w:val="28"/>
                                <w:lang w:val="uk-UA"/>
                              </w:rPr>
                              <w:t>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D54769" w:rsidDel="00000000" w:rsidP="003733B3" w:rsidRDefault="00D54769" w:rsidRPr="00B45F0D" w14:paraId="37C03D67" w14:textId="04C693D5">
                            <w:pPr>
                              <w:pStyle w:val="HEAD1"/>
                              <w:spacing w:line="360" w:lineRule="auto"/>
                              <w:jc w:val="center"/>
                              <w:rPr>
                                <w:i w:val="1"/>
                                <w:color w:val="002060"/>
                                <w:sz w:val="28"/>
                                <w:szCs w:val="28"/>
                                <w:lang w:val="uk-UA"/>
                              </w:rPr>
                            </w:pPr>
                            <w:r w:rsidDel="00000000" w:rsidR="00000000" w:rsidRPr="00B45F0D">
                              <w:rPr>
                                <w:i w:val="1"/>
                                <w:color w:val="002060"/>
                                <w:sz w:val="28"/>
                                <w:szCs w:val="28"/>
                              </w:rPr>
                              <w:t>(</w:t>
                            </w:r>
                            <w:r w:rsidDel="00000000" w:rsidR="00000000" w:rsidRPr="00B45F0D">
                              <w:rPr>
                                <w:i w:val="1"/>
                                <w:color w:val="002060"/>
                                <w:sz w:val="28"/>
                                <w:szCs w:val="28"/>
                                <w:lang w:val="uk-UA"/>
                              </w:rPr>
                              <w:t>ВИТЯГ)</w:t>
                            </w:r>
                          </w:p>
                          <w:p w:rsidR="00940570" w:rsidDel="00000000" w:rsidP="003733B3" w:rsidRDefault="00940570" w:rsidRPr="00B45F0D" w14:paraId="1DC923F5" w14:textId="77777777">
                            <w:pPr>
                              <w:pStyle w:val="HEAD1"/>
                              <w:spacing w:line="360" w:lineRule="auto"/>
                              <w:jc w:val="both"/>
                              <w:rPr>
                                <w:color w:val="002060"/>
                                <w:sz w:val="32"/>
                                <w:lang w:val="uk-UA"/>
                              </w:rPr>
                            </w:pPr>
                          </w:p>
                          <w:p w:rsidR="00940570" w:rsidDel="00000000" w:rsidP="003733B3" w:rsidRDefault="00940570" w:rsidRPr="00B45F0D" w14:paraId="487520A8" w14:textId="77777777">
                            <w:pPr>
                              <w:pStyle w:val="HEAD1"/>
                              <w:spacing w:line="360" w:lineRule="auto"/>
                              <w:jc w:val="both"/>
                              <w:rPr>
                                <w:color w:val="002060"/>
                                <w:sz w:val="32"/>
                                <w:lang w:val="uk-UA"/>
                              </w:rPr>
                            </w:pPr>
                          </w:p>
                          <w:p w:rsidR="00940570" w:rsidDel="00000000" w:rsidP="00F53AA7" w:rsidRDefault="00940570" w:rsidRPr="00B45F0D" w14:paraId="50729EC7" w14:textId="77777777">
                            <w:pPr>
                              <w:pStyle w:val="HEAD1"/>
                              <w:jc w:val="both"/>
                              <w:rPr>
                                <w:color w:val="002060"/>
                                <w:sz w:val="32"/>
                                <w:lang w:val="uk-UA"/>
                              </w:rPr>
                            </w:pPr>
                          </w:p>
                          <w:p w:rsidR="00940570" w:rsidDel="00000000" w:rsidP="00F53AA7" w:rsidRDefault="00940570" w:rsidRPr="00B45F0D" w14:paraId="584218A6" w14:textId="77777777">
                            <w:pPr>
                              <w:pStyle w:val="HEAD1"/>
                              <w:jc w:val="both"/>
                              <w:rPr>
                                <w:color w:val="002060"/>
                                <w:sz w:val="32"/>
                                <w:lang w:val="uk-UA"/>
                              </w:rPr>
                            </w:pPr>
                          </w:p>
                          <w:p w:rsidR="00940570" w:rsidDel="00000000" w:rsidP="00F53AA7" w:rsidRDefault="00940570" w:rsidRPr="00B45F0D" w14:paraId="7AB888C5" w14:textId="77777777">
                            <w:pPr>
                              <w:pStyle w:val="HEAD1"/>
                              <w:jc w:val="both"/>
                              <w:rPr>
                                <w:color w:val="002060"/>
                                <w:lang w:val="uk-UA"/>
                              </w:rPr>
                            </w:pPr>
                          </w:p>
                          <w:p w:rsidR="00940570" w:rsidDel="00000000" w:rsidP="00F53AA7" w:rsidRDefault="00940570" w:rsidRPr="00B45F0D" w14:paraId="1463E00F" w14:textId="77777777">
                            <w:pPr>
                              <w:pStyle w:val="HEAD1"/>
                              <w:jc w:val="both"/>
                              <w:rPr>
                                <w:color w:val="002060"/>
                                <w:lang w:val="uk-UA"/>
                              </w:rPr>
                            </w:pPr>
                          </w:p>
                          <w:p w:rsidR="00940570" w:rsidDel="00000000" w:rsidP="00F53AA7" w:rsidRDefault="00940570" w:rsidRPr="00B45F0D" w14:paraId="569767E7" w14:textId="77777777">
                            <w:pPr>
                              <w:pStyle w:val="HEAD1"/>
                              <w:jc w:val="both"/>
                              <w:rPr>
                                <w:color w:val="002060"/>
                                <w:lang w:val="uk-UA"/>
                              </w:rPr>
                            </w:pPr>
                          </w:p>
                          <w:p w:rsidR="00940570" w:rsidDel="00000000" w:rsidP="00F53AA7" w:rsidRDefault="00940570" w:rsidRPr="00B45F0D" w14:paraId="0979FB90" w14:textId="77777777">
                            <w:pPr>
                              <w:pStyle w:val="HEAD1"/>
                              <w:jc w:val="both"/>
                              <w:rPr>
                                <w:color w:val="002060"/>
                                <w:lang w:val="uk-UA"/>
                              </w:rPr>
                            </w:pPr>
                          </w:p>
                          <w:p w:rsidR="00940570" w:rsidDel="00000000" w:rsidP="00F53AA7" w:rsidRDefault="00940570" w:rsidRPr="00B45F0D" w14:paraId="27B47358" w14:textId="77777777">
                            <w:pPr>
                              <w:pStyle w:val="HEAD1"/>
                              <w:jc w:val="both"/>
                              <w:rPr>
                                <w:color w:val="002060"/>
                                <w:lang w:val="uk-UA"/>
                              </w:rPr>
                            </w:pPr>
                          </w:p>
                          <w:p w:rsidR="00940570" w:rsidDel="00000000" w:rsidP="00F53AA7" w:rsidRDefault="00940570" w:rsidRPr="00B45F0D" w14:paraId="50B9BB01" w14:textId="77777777">
                            <w:pPr>
                              <w:pStyle w:val="HEAD1"/>
                              <w:jc w:val="both"/>
                              <w:rPr>
                                <w:color w:val="002060"/>
                                <w:lang w:val="uk-UA"/>
                              </w:rPr>
                            </w:pPr>
                          </w:p>
                          <w:p w:rsidR="00940570" w:rsidDel="00000000" w:rsidP="00F53AA7" w:rsidRDefault="00940570" w:rsidRPr="00B45F0D" w14:paraId="0047EC82" w14:textId="77777777">
                            <w:pPr>
                              <w:pStyle w:val="HEAD1"/>
                              <w:jc w:val="both"/>
                              <w:rPr>
                                <w:color w:val="002060"/>
                                <w:lang w:val="uk-UA"/>
                              </w:rPr>
                            </w:pPr>
                          </w:p>
                          <w:p w:rsidR="00940570" w:rsidDel="00000000" w:rsidP="00F53AA7" w:rsidRDefault="00940570" w:rsidRPr="00B45F0D" w14:paraId="6248F437" w14:textId="77777777">
                            <w:pPr>
                              <w:pStyle w:val="HEAD1"/>
                              <w:jc w:val="both"/>
                              <w:rPr>
                                <w:color w:val="002060"/>
                                <w:lang w:val="uk-UA"/>
                              </w:rPr>
                            </w:pPr>
                          </w:p>
                          <w:p w:rsidR="00940570" w:rsidDel="00000000" w:rsidP="00F53AA7" w:rsidRDefault="00940570" w:rsidRPr="00B45F0D" w14:paraId="23CDDCA4" w14:textId="77777777">
                            <w:pPr>
                              <w:pStyle w:val="HEAD1"/>
                              <w:jc w:val="both"/>
                              <w:rPr>
                                <w:color w:val="002060"/>
                                <w:lang w:val="uk-UA"/>
                              </w:rPr>
                            </w:pPr>
                          </w:p>
                          <w:p w:rsidR="00940570" w:rsidDel="00000000" w:rsidP="00F53AA7" w:rsidRDefault="00940570" w:rsidRPr="00B45F0D" w14:paraId="2B964EB4" w14:textId="77777777">
                            <w:pPr>
                              <w:pStyle w:val="HEAD1"/>
                              <w:jc w:val="both"/>
                              <w:rPr>
                                <w:color w:val="002060"/>
                                <w:lang w:val="uk-UA"/>
                              </w:rPr>
                            </w:pPr>
                          </w:p>
                          <w:p w:rsidR="00940570" w:rsidDel="00000000" w:rsidP="00F53AA7" w:rsidRDefault="00940570" w:rsidRPr="00B45F0D" w14:paraId="40562209" w14:textId="77777777">
                            <w:pPr>
                              <w:pStyle w:val="HEAD1"/>
                              <w:jc w:val="both"/>
                              <w:rPr>
                                <w:color w:val="002060"/>
                                <w:lang w:val="uk-UA"/>
                              </w:rPr>
                            </w:pPr>
                          </w:p>
                          <w:p w:rsidR="00940570" w:rsidDel="00000000" w:rsidP="00F53AA7" w:rsidRDefault="00940570" w:rsidRPr="00B45F0D" w14:paraId="43649A85" w14:textId="77777777">
                            <w:pPr>
                              <w:pStyle w:val="HEAD1"/>
                              <w:jc w:val="both"/>
                              <w:rPr>
                                <w:color w:val="002060"/>
                                <w:lang w:val="uk-UA"/>
                              </w:rPr>
                            </w:pPr>
                          </w:p>
                          <w:p w:rsidR="00940570" w:rsidDel="00000000" w:rsidP="00F53AA7" w:rsidRDefault="00940570" w:rsidRPr="00B45F0D" w14:paraId="0588C5B3" w14:textId="77777777">
                            <w:pPr>
                              <w:pStyle w:val="HEAD1"/>
                              <w:jc w:val="both"/>
                              <w:rPr>
                                <w:color w:val="002060"/>
                                <w:lang w:val="uk-UA"/>
                              </w:rPr>
                            </w:pPr>
                          </w:p>
                          <w:p w:rsidR="00940570" w:rsidDel="00000000" w:rsidP="00F53AA7" w:rsidRDefault="00940570" w:rsidRPr="00B45F0D" w14:paraId="6B150E49" w14:textId="77777777">
                            <w:pPr>
                              <w:pStyle w:val="HEAD1"/>
                              <w:jc w:val="both"/>
                              <w:rPr>
                                <w:color w:val="002060"/>
                                <w:lang w:val="uk-UA"/>
                              </w:rPr>
                            </w:pPr>
                          </w:p>
                          <w:p w:rsidR="00940570" w:rsidDel="00000000" w:rsidP="00F53AA7" w:rsidRDefault="00940570" w:rsidRPr="00B45F0D" w14:paraId="21D1F172" w14:textId="77777777">
                            <w:pPr>
                              <w:pStyle w:val="HEAD1"/>
                              <w:jc w:val="both"/>
                              <w:rPr>
                                <w:color w:val="002060"/>
                                <w:lang w:val="uk-UA"/>
                              </w:rPr>
                            </w:pPr>
                          </w:p>
                          <w:p w:rsidR="00940570" w:rsidDel="00000000" w:rsidP="00F53AA7" w:rsidRDefault="00940570" w:rsidRPr="00B45F0D" w14:paraId="0E285DB0" w14:textId="77777777">
                            <w:pPr>
                              <w:pStyle w:val="HEAD1"/>
                              <w:jc w:val="both"/>
                              <w:rPr>
                                <w:color w:val="002060"/>
                                <w:lang w:val="uk-UA"/>
                              </w:rPr>
                            </w:pPr>
                          </w:p>
                          <w:p w:rsidR="00940570" w:rsidDel="00000000" w:rsidP="00F53AA7" w:rsidRDefault="00940570" w:rsidRPr="00B45F0D" w14:paraId="3D9ED00D" w14:textId="77777777">
                            <w:pPr>
                              <w:pStyle w:val="HEAD1"/>
                              <w:jc w:val="both"/>
                              <w:rPr>
                                <w:color w:val="002060"/>
                                <w:lang w:val="uk-UA"/>
                              </w:rPr>
                            </w:pPr>
                          </w:p>
                          <w:p w:rsidR="00940570" w:rsidDel="00000000" w:rsidP="00F53AA7" w:rsidRDefault="00940570" w:rsidRPr="00B45F0D" w14:paraId="10A05586" w14:textId="77777777">
                            <w:pPr>
                              <w:pStyle w:val="HEAD1"/>
                              <w:jc w:val="both"/>
                              <w:rPr>
                                <w:color w:val="002060"/>
                                <w:lang w:val="uk-UA"/>
                              </w:rPr>
                            </w:pPr>
                          </w:p>
                          <w:p w:rsidR="00940570" w:rsidDel="00000000" w:rsidP="00F53AA7" w:rsidRDefault="00940570" w:rsidRPr="00B45F0D" w14:paraId="71FD9E23" w14:textId="77777777">
                            <w:pPr>
                              <w:pStyle w:val="HEAD1"/>
                              <w:jc w:val="both"/>
                              <w:rPr>
                                <w:color w:val="002060"/>
                                <w:lang w:val="uk-UA"/>
                              </w:rPr>
                            </w:pPr>
                          </w:p>
                          <w:p w:rsidR="00940570" w:rsidDel="00000000" w:rsidP="00F53AA7" w:rsidRDefault="00940570" w:rsidRPr="00B45F0D" w14:paraId="29A8A837" w14:textId="77777777">
                            <w:pPr>
                              <w:pStyle w:val="HEAD1"/>
                              <w:jc w:val="both"/>
                              <w:rPr>
                                <w:color w:val="002060"/>
                                <w:lang w:val="uk-UA"/>
                              </w:rPr>
                            </w:pPr>
                          </w:p>
                          <w:p w:rsidR="00940570" w:rsidDel="00000000" w:rsidP="00F53AA7" w:rsidRDefault="00940570" w:rsidRPr="00B45F0D" w14:paraId="464A176D" w14:textId="77777777">
                            <w:pPr>
                              <w:pStyle w:val="HEAD1"/>
                              <w:jc w:val="both"/>
                              <w:rPr>
                                <w:color w:val="002060"/>
                                <w:lang w:val="uk-UA"/>
                              </w:rPr>
                            </w:pPr>
                          </w:p>
                          <w:p w:rsidR="00940570" w:rsidDel="00000000" w:rsidP="00D95309" w:rsidRDefault="00611BCB" w:rsidRPr="00B45F0D" w14:paraId="23719B73" w14:textId="02DFC758">
                            <w:pPr>
                              <w:pStyle w:val="HEAD1"/>
                              <w:jc w:val="center"/>
                              <w:rPr>
                                <w:color w:val="002060"/>
                              </w:rPr>
                            </w:pPr>
                            <w:r w:rsidDel="00000000" w:rsidR="00000000" w:rsidRPr="00000000">
                              <w:rPr>
                                <w:color w:val="002060"/>
                              </w:rPr>
                              <w:t>2023</w:t>
                            </w:r>
                          </w:p>
                          <w:p w:rsidR="00940570" w:rsidDel="00000000" w:rsidP="00F53AA7" w:rsidRDefault="00940570" w:rsidRPr="00B45F0D" w14:paraId="58653F00" w14:textId="77777777">
                            <w:pPr>
                              <w:pStyle w:val="HEAD1"/>
                              <w:jc w:val="both"/>
                              <w:rPr>
                                <w:color w:val="002060"/>
                                <w:lang w:val="uk-UA"/>
                              </w:rPr>
                            </w:pPr>
                          </w:p>
                          <w:p w:rsidR="00940570" w:rsidDel="00000000" w:rsidP="00F53AA7" w:rsidRDefault="00940570" w:rsidRPr="00B45F0D" w14:paraId="3F2ED3FE" w14:textId="77777777">
                            <w:pPr>
                              <w:pStyle w:val="HEAD1"/>
                              <w:jc w:val="center"/>
                              <w:rPr>
                                <w:color w:val="002060"/>
                                <w:lang w:val="uk-UA"/>
                              </w:rPr>
                            </w:pPr>
                            <w:r w:rsidDel="00000000" w:rsidR="00000000" w:rsidRPr="00B45F0D">
                              <w:rPr>
                                <w:color w:val="002060"/>
                                <w:lang w:val="uk-UA"/>
                              </w:rPr>
                              <w:t>2020</w:t>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18415</wp:posOffset>
                </wp:positionV>
                <wp:extent cx="6439179" cy="9182100"/>
                <wp:effectExtent b="0" l="0" r="0" t="0"/>
                <wp:wrapNone/>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439179" cy="9182100"/>
                        </a:xfrm>
                        <a:prstGeom prst="rect"/>
                        <a:ln/>
                      </pic:spPr>
                    </pic:pic>
                  </a:graphicData>
                </a:graphic>
              </wp:anchor>
            </w:drawing>
          </mc:Fallback>
        </mc:AlternateContent>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both"/>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Зміст</w:t>
      </w:r>
    </w:p>
    <w:p w:rsidR="00000000" w:rsidDel="00000000" w:rsidP="00000000" w:rsidRDefault="00000000" w:rsidRPr="00000000" w14:paraId="00000003">
      <w:pPr>
        <w:rPr>
          <w:color w:val="00206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78"/>
            </w:tabs>
            <w:spacing w:after="100" w:before="0" w:line="259" w:lineRule="auto"/>
            <w:ind w:left="0" w:right="0" w:firstLine="0"/>
            <w:jc w:val="left"/>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gjdgxs">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w:t>
            </w:r>
          </w:hyperlink>
          <w:hyperlink w:anchor="_gjdgxs">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ab/>
            </w:r>
          </w:hyperlink>
          <w:r w:rsidDel="00000000" w:rsidR="00000000" w:rsidRPr="00000000">
            <w:fldChar w:fldCharType="begin"/>
            <w:instrText xml:space="preserve"> PAGEREF _gjdgxs \h </w:instrText>
            <w:fldChar w:fldCharType="separate"/>
          </w: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ЗАГАЛЬНІ ПОЛОЖЕННЯ</w:t>
          </w: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78"/>
            </w:tabs>
            <w:spacing w:after="100" w:before="0" w:line="259" w:lineRule="auto"/>
            <w:ind w:left="0" w:right="0" w:firstLine="0"/>
            <w:jc w:val="left"/>
            <w:rPr>
              <w:rFonts w:ascii="Calibri" w:cs="Calibri" w:eastAsia="Calibri" w:hAnsi="Calibri"/>
              <w:b w:val="0"/>
              <w:i w:val="0"/>
              <w:smallCaps w:val="0"/>
              <w:strike w:val="0"/>
              <w:color w:val="002060"/>
              <w:sz w:val="20"/>
              <w:szCs w:val="20"/>
              <w:u w:val="none"/>
              <w:shd w:fill="auto" w:val="clear"/>
              <w:vertAlign w:val="baseline"/>
            </w:rPr>
          </w:pPr>
          <w:hyperlink w:anchor="_30j0zll">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2.</w:t>
            </w:r>
          </w:hyperlink>
          <w:hyperlink w:anchor="_30j0zll">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МЕТА, ЗАВДАННЯ ТА ПРИНЦИПИ ПВК/ФТ</w:t>
          </w: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78"/>
            </w:tabs>
            <w:spacing w:after="100" w:before="0" w:line="259" w:lineRule="auto"/>
            <w:ind w:left="0" w:right="0" w:firstLine="0"/>
            <w:jc w:val="left"/>
            <w:rPr>
              <w:rFonts w:ascii="Calibri" w:cs="Calibri" w:eastAsia="Calibri" w:hAnsi="Calibri"/>
              <w:b w:val="0"/>
              <w:i w:val="0"/>
              <w:smallCaps w:val="0"/>
              <w:strike w:val="0"/>
              <w:color w:val="002060"/>
              <w:sz w:val="20"/>
              <w:szCs w:val="20"/>
              <w:u w:val="none"/>
              <w:shd w:fill="auto" w:val="clear"/>
              <w:vertAlign w:val="baseline"/>
            </w:rPr>
          </w:pPr>
          <w:hyperlink w:anchor="_1fob9te">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3.</w:t>
            </w:r>
          </w:hyperlink>
          <w:hyperlink w:anchor="_1fob9te">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ab/>
            </w:r>
          </w:hyperlink>
          <w:r w:rsidDel="00000000" w:rsidR="00000000" w:rsidRPr="00000000">
            <w:fldChar w:fldCharType="begin"/>
            <w:instrText xml:space="preserve"> PAGEREF _1fob9te \h </w:instrText>
            <w:fldChar w:fldCharType="separate"/>
          </w: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ОРГАНІЗАЦІЙНА СТРУКТУРА ВНУТРІШНЬОБАНКІВСЬКОЇ СИСТЕМИ ПВК/ФТ</w:t>
          </w: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78"/>
            </w:tabs>
            <w:spacing w:after="100" w:before="0" w:line="259" w:lineRule="auto"/>
            <w:ind w:left="0" w:right="0" w:firstLine="0"/>
            <w:jc w:val="left"/>
            <w:rPr>
              <w:rFonts w:ascii="Calibri" w:cs="Calibri" w:eastAsia="Calibri" w:hAnsi="Calibri"/>
              <w:b w:val="0"/>
              <w:i w:val="0"/>
              <w:smallCaps w:val="0"/>
              <w:strike w:val="0"/>
              <w:color w:val="002060"/>
              <w:sz w:val="20"/>
              <w:szCs w:val="20"/>
              <w:u w:val="none"/>
              <w:shd w:fill="auto" w:val="clear"/>
              <w:vertAlign w:val="baseline"/>
            </w:rPr>
          </w:pPr>
          <w:hyperlink w:anchor="_3znysh7">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4.</w:t>
            </w:r>
          </w:hyperlink>
          <w:hyperlink w:anchor="_3znysh7">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ab/>
            </w:r>
          </w:hyperlink>
          <w:r w:rsidDel="00000000" w:rsidR="00000000" w:rsidRPr="00000000">
            <w:fldChar w:fldCharType="begin"/>
            <w:instrText xml:space="preserve"> PAGEREF _3znysh7 \h </w:instrText>
            <w:fldChar w:fldCharType="separate"/>
          </w: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ВИЗНАЧЕННЯ РИЗИК-АПЕТИТУ БАНКУ У СФЕРІ ПВК/ФТ</w:t>
          </w: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78"/>
            </w:tabs>
            <w:spacing w:after="100" w:before="0" w:line="259" w:lineRule="auto"/>
            <w:ind w:left="0" w:right="0" w:firstLine="0"/>
            <w:jc w:val="left"/>
            <w:rPr>
              <w:rFonts w:ascii="Calibri" w:cs="Calibri" w:eastAsia="Calibri" w:hAnsi="Calibri"/>
              <w:b w:val="0"/>
              <w:i w:val="0"/>
              <w:smallCaps w:val="0"/>
              <w:strike w:val="0"/>
              <w:color w:val="002060"/>
              <w:sz w:val="20"/>
              <w:szCs w:val="20"/>
              <w:u w:val="none"/>
              <w:shd w:fill="auto" w:val="clear"/>
              <w:vertAlign w:val="baseline"/>
            </w:rPr>
          </w:pPr>
          <w:hyperlink w:anchor="_2et92p0">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5.</w:t>
            </w:r>
          </w:hyperlink>
          <w:hyperlink w:anchor="_2et92p0">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ab/>
            </w:r>
          </w:hyperlink>
          <w:r w:rsidDel="00000000" w:rsidR="00000000" w:rsidRPr="00000000">
            <w:fldChar w:fldCharType="begin"/>
            <w:instrText xml:space="preserve"> PAGEREF _2et92p0 \h </w:instrText>
            <w:fldChar w:fldCharType="separate"/>
          </w: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ВІДПОВІДАЛЬНІСТЬ</w:t>
          </w: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78"/>
            </w:tabs>
            <w:spacing w:after="100" w:before="0" w:line="259" w:lineRule="auto"/>
            <w:ind w:left="0" w:right="0" w:firstLine="0"/>
            <w:jc w:val="left"/>
            <w:rPr>
              <w:rFonts w:ascii="Calibri" w:cs="Calibri" w:eastAsia="Calibri" w:hAnsi="Calibri"/>
              <w:b w:val="0"/>
              <w:i w:val="0"/>
              <w:smallCaps w:val="0"/>
              <w:strike w:val="0"/>
              <w:color w:val="002060"/>
              <w:sz w:val="20"/>
              <w:szCs w:val="20"/>
              <w:u w:val="none"/>
              <w:shd w:fill="auto" w:val="clear"/>
              <w:vertAlign w:val="baseline"/>
            </w:rPr>
          </w:pPr>
          <w:hyperlink w:anchor="_tyjcwt">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w:t>
            </w:r>
          </w:hyperlink>
          <w:hyperlink w:anchor="_tyjcwt">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ab/>
            </w:r>
          </w:hyperlink>
          <w:r w:rsidDel="00000000" w:rsidR="00000000" w:rsidRPr="00000000">
            <w:fldChar w:fldCharType="begin"/>
            <w:instrText xml:space="preserve"> PAGEREF _tyjcwt \h </w:instrText>
            <w:fldChar w:fldCharType="separate"/>
          </w: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ПРИКІНЦЕВІ ПОЛОЖЕННЯ</w:t>
          </w: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0A">
          <w:pPr>
            <w:jc w:val="both"/>
            <w:rPr>
              <w:rFonts w:ascii="Arial" w:cs="Arial" w:eastAsia="Arial" w:hAnsi="Arial"/>
              <w:color w:val="002060"/>
              <w:sz w:val="20"/>
              <w:szCs w:val="2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B">
      <w:pPr>
        <w:rPr>
          <w:rFonts w:ascii="Arial" w:cs="Arial" w:eastAsia="Arial" w:hAnsi="Arial"/>
          <w:b w:val="1"/>
          <w:color w:val="00206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0C">
      <w:pPr>
        <w:pStyle w:val="Heading1"/>
        <w:numPr>
          <w:ilvl w:val="0"/>
          <w:numId w:val="5"/>
        </w:numPr>
        <w:spacing w:after="120" w:before="120" w:line="360" w:lineRule="auto"/>
        <w:ind w:left="360" w:hanging="360"/>
        <w:rPr>
          <w:rFonts w:ascii="Arial" w:cs="Arial" w:eastAsia="Arial" w:hAnsi="Arial"/>
          <w:b w:val="1"/>
          <w:color w:val="002060"/>
          <w:sz w:val="20"/>
          <w:szCs w:val="20"/>
        </w:rPr>
      </w:pPr>
      <w:bookmarkStart w:colFirst="0" w:colLast="0" w:name="_gjdgxs" w:id="0"/>
      <w:bookmarkEnd w:id="0"/>
      <w:r w:rsidDel="00000000" w:rsidR="00000000" w:rsidRPr="00000000">
        <w:rPr>
          <w:rFonts w:ascii="Arial" w:cs="Arial" w:eastAsia="Arial" w:hAnsi="Arial"/>
          <w:b w:val="1"/>
          <w:color w:val="002060"/>
          <w:sz w:val="20"/>
          <w:szCs w:val="20"/>
          <w:rtl w:val="0"/>
        </w:rPr>
        <w:t xml:space="preserve">ЗАГАЛЬНІ ПОЛОЖЕННЯ</w:t>
      </w:r>
    </w:p>
    <w:p w:rsidR="00000000" w:rsidDel="00000000" w:rsidP="00000000" w:rsidRDefault="00000000" w:rsidRPr="00000000" w14:paraId="0000000D">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Політика АТ «ПІРЕУС БАНК МКБ» з питань протидії легалізації (відмивання) доходів, одержаних злочинним шляхом, фінансування тероризму та/або фінансування розповсюдження зброї масового знищення (надалі – Політика з ПВК/ФТ) регламентує загальні вимоги до належної організації внутрішньобанківської системи протидії легалізації (відмивання) доходів, одержаних злочинним шляхом, фінансування тероризму та/або фінансування розповсюдження зброї масового знищення (далі – внутрішньобанківська система ПВК/ФТ) з метою запобігання використання АТ «ПІРЕУС БАНК МКБ» (надалі – Банк) для легалізації (відмивання) доходів, одержаних злочинним шляхом, фінансування тероризму та фінансування розповсюдження зброї масового знищення (далі – ВК/ФТ).</w:t>
      </w:r>
    </w:p>
    <w:p w:rsidR="00000000" w:rsidDel="00000000" w:rsidP="00000000" w:rsidRDefault="00000000" w:rsidRPr="00000000" w14:paraId="0000000E">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Зокрема, ця Політика визначає мету, завдання та основні принципи, якими керується Банк під час виконання вимог законодавства України із запобігання та протидії  ВК/ФТ (далі – ПВК/ФТ).</w:t>
      </w:r>
    </w:p>
    <w:p w:rsidR="00000000" w:rsidDel="00000000" w:rsidP="00000000" w:rsidRDefault="00000000" w:rsidRPr="00000000" w14:paraId="0000000F">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Вимоги цієї Політики поширюються на всіх суб’єктів внутрішньобанківської системи ПВК/ФТ, які визначені цією Політикою та є обов'язковими до їх виконання.</w:t>
      </w:r>
    </w:p>
    <w:p w:rsidR="00000000" w:rsidDel="00000000" w:rsidP="00000000" w:rsidRDefault="00000000" w:rsidRPr="00000000" w14:paraId="00000010">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Політика доводиться Наглядовою Радою Банку (далі – Наглядова Рада) Правлінню Банку та Відповідальному працівникові Банку за проведення фінансового моніторингу з метою формування чіткого розуміння очікувань ради банку щодо:</w:t>
      </w:r>
    </w:p>
    <w:p w:rsidR="00000000" w:rsidDel="00000000" w:rsidP="00000000" w:rsidRDefault="00000000" w:rsidRPr="00000000" w14:paraId="00000011">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1)</w:t>
        <w:tab/>
        <w:t xml:space="preserve">створення належної організації та функціонування внутрішньобанківської системи ПВК/ФТ та проведення первинного фінансового моніторингу, функціонування належної системи управління ризиками ВК/ФТ;</w:t>
      </w:r>
    </w:p>
    <w:p w:rsidR="00000000" w:rsidDel="00000000" w:rsidP="00000000" w:rsidRDefault="00000000" w:rsidRPr="00000000" w14:paraId="00000012">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2)</w:t>
        <w:tab/>
        <w:t xml:space="preserve">ризик-апетиту банку у сфері ПВК/ФТ</w:t>
      </w:r>
      <w:r w:rsidDel="00000000" w:rsidR="00000000" w:rsidRPr="00000000">
        <w:rPr>
          <w:rFonts w:ascii="Arial" w:cs="Arial" w:eastAsia="Arial" w:hAnsi="Arial"/>
          <w:color w:val="002060"/>
          <w:vertAlign w:val="superscript"/>
        </w:rPr>
        <w:footnoteReference w:customMarkFollows="0" w:id="0"/>
      </w:r>
      <w:r w:rsidDel="00000000" w:rsidR="00000000" w:rsidRPr="00000000">
        <w:rPr>
          <w:rFonts w:ascii="Arial" w:cs="Arial" w:eastAsia="Arial" w:hAnsi="Arial"/>
          <w:color w:val="002060"/>
          <w:sz w:val="20"/>
          <w:szCs w:val="20"/>
          <w:rtl w:val="0"/>
        </w:rPr>
        <w:t xml:space="preserve"> (уключаючи, за наявності, встановлені заборони/обмеження щодо провадження окремих видів діяльності та/або залучення окремих типів клієнтів на обслуговування);</w:t>
      </w:r>
    </w:p>
    <w:p w:rsidR="00000000" w:rsidDel="00000000" w:rsidP="00000000" w:rsidRDefault="00000000" w:rsidRPr="00000000" w14:paraId="00000013">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3)</w:t>
        <w:tab/>
        <w:t xml:space="preserve">обсягу необхідних до розроблення та затвердження внутрішніх документів банку з питань ПВК/ФТ;</w:t>
      </w:r>
    </w:p>
    <w:p w:rsidR="00000000" w:rsidDel="00000000" w:rsidP="00000000" w:rsidRDefault="00000000" w:rsidRPr="00000000" w14:paraId="00000014">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4)</w:t>
        <w:tab/>
        <w:t xml:space="preserve">вимог до побудови трьох ліній захисту в сфері ПВК/ФТ та розподілу обов’язків та відповідальності між працівниками банку;</w:t>
      </w:r>
    </w:p>
    <w:p w:rsidR="00000000" w:rsidDel="00000000" w:rsidP="00000000" w:rsidRDefault="00000000" w:rsidRPr="00000000" w14:paraId="00000015">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5)</w:t>
        <w:tab/>
        <w:t xml:space="preserve">функціонування внутрішнього контролю з питань ПВК/ФТ;</w:t>
      </w:r>
    </w:p>
    <w:p w:rsidR="00000000" w:rsidDel="00000000" w:rsidP="00000000" w:rsidRDefault="00000000" w:rsidRPr="00000000" w14:paraId="00000016">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6)</w:t>
        <w:tab/>
        <w:t xml:space="preserve">забезпечення проведення навчальних заходів з питань ПВК/ФТ.</w:t>
      </w:r>
    </w:p>
    <w:p w:rsidR="00000000" w:rsidDel="00000000" w:rsidP="00000000" w:rsidRDefault="00000000" w:rsidRPr="00000000" w14:paraId="00000017">
      <w:pPr>
        <w:rPr>
          <w:rFonts w:ascii="Arial" w:cs="Arial" w:eastAsia="Arial" w:hAnsi="Arial"/>
          <w:b w:val="1"/>
          <w:color w:val="002060"/>
          <w:sz w:val="20"/>
          <w:szCs w:val="20"/>
        </w:rPr>
      </w:pPr>
      <w:r w:rsidDel="00000000" w:rsidR="00000000" w:rsidRPr="00000000">
        <w:rPr>
          <w:rFonts w:ascii="Arial" w:cs="Arial" w:eastAsia="Arial" w:hAnsi="Arial"/>
          <w:b w:val="1"/>
          <w:color w:val="002060"/>
          <w:sz w:val="20"/>
          <w:szCs w:val="20"/>
          <w:rtl w:val="0"/>
        </w:rPr>
        <w:t xml:space="preserve">1.2 Терміни та скорочення.</w:t>
      </w:r>
    </w:p>
    <w:p w:rsidR="00000000" w:rsidDel="00000000" w:rsidP="00000000" w:rsidRDefault="00000000" w:rsidRPr="00000000" w14:paraId="00000018">
      <w:pPr>
        <w:spacing w:after="120" w:before="120" w:line="360" w:lineRule="auto"/>
        <w:jc w:val="both"/>
        <w:rPr>
          <w:rFonts w:ascii="Arial" w:cs="Arial" w:eastAsia="Arial" w:hAnsi="Arial"/>
          <w:color w:val="002060"/>
          <w:sz w:val="20"/>
          <w:szCs w:val="20"/>
          <w:u w:val="single"/>
        </w:rPr>
      </w:pPr>
      <w:r w:rsidDel="00000000" w:rsidR="00000000" w:rsidRPr="00000000">
        <w:rPr>
          <w:rFonts w:ascii="Arial" w:cs="Arial" w:eastAsia="Arial" w:hAnsi="Arial"/>
          <w:color w:val="002060"/>
          <w:sz w:val="20"/>
          <w:szCs w:val="20"/>
          <w:u w:val="single"/>
          <w:rtl w:val="0"/>
        </w:rPr>
        <w:t xml:space="preserve">У цій Політиці з ПВК/ФТ використовуються такі скорочення (абревіатури):</w:t>
      </w:r>
    </w:p>
    <w:p w:rsidR="00000000" w:rsidDel="00000000" w:rsidP="00000000" w:rsidRDefault="00000000" w:rsidRPr="00000000" w14:paraId="00000019">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b w:val="1"/>
          <w:color w:val="002060"/>
          <w:sz w:val="20"/>
          <w:szCs w:val="20"/>
          <w:rtl w:val="0"/>
        </w:rPr>
        <w:t xml:space="preserve">Закон про ПВК/ФТ</w:t>
      </w:r>
      <w:r w:rsidDel="00000000" w:rsidR="00000000" w:rsidRPr="00000000">
        <w:rPr>
          <w:rFonts w:ascii="Arial" w:cs="Arial" w:eastAsia="Arial" w:hAnsi="Arial"/>
          <w:color w:val="002060"/>
          <w:sz w:val="20"/>
          <w:szCs w:val="20"/>
          <w:rtl w:val="0"/>
        </w:rPr>
        <w:t xml:space="preserve"> – Закон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000000" w:rsidDel="00000000" w:rsidP="00000000" w:rsidRDefault="00000000" w:rsidRPr="00000000" w14:paraId="0000001A">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b w:val="1"/>
          <w:color w:val="002060"/>
          <w:sz w:val="20"/>
          <w:szCs w:val="20"/>
          <w:rtl w:val="0"/>
        </w:rPr>
        <w:t xml:space="preserve">КБВ</w:t>
      </w:r>
      <w:r w:rsidDel="00000000" w:rsidR="00000000" w:rsidRPr="00000000">
        <w:rPr>
          <w:rFonts w:ascii="Arial" w:cs="Arial" w:eastAsia="Arial" w:hAnsi="Arial"/>
          <w:color w:val="002060"/>
          <w:sz w:val="20"/>
          <w:szCs w:val="20"/>
          <w:rtl w:val="0"/>
        </w:rPr>
        <w:t xml:space="preserve"> - кінцевий бенефіціарний власник;</w:t>
      </w:r>
    </w:p>
    <w:p w:rsidR="00000000" w:rsidDel="00000000" w:rsidP="00000000" w:rsidRDefault="00000000" w:rsidRPr="00000000" w14:paraId="0000001B">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b w:val="1"/>
          <w:color w:val="002060"/>
          <w:sz w:val="20"/>
          <w:szCs w:val="20"/>
          <w:rtl w:val="0"/>
        </w:rPr>
        <w:t xml:space="preserve">Клієнт </w:t>
      </w:r>
      <w:r w:rsidDel="00000000" w:rsidR="00000000" w:rsidRPr="00000000">
        <w:rPr>
          <w:rFonts w:ascii="Arial" w:cs="Arial" w:eastAsia="Arial" w:hAnsi="Arial"/>
          <w:color w:val="002060"/>
          <w:sz w:val="20"/>
          <w:szCs w:val="20"/>
          <w:rtl w:val="0"/>
        </w:rPr>
        <w:t xml:space="preserve">–  будь-яка особа, яка:</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звертається за наданням послуг до суб'єкта первинного фінансового моніторингу;</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користується послугами суб'єкта первинного фінансового моніторингу;</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є стороною договору (для суб'єктів первинного фінансового моніторингу, щодо яких Національна комісія з цінних паперів та фондового ринку відповідно до статті 18 цього Закону виконує функції державного регулювання і нагляду);</w:t>
      </w:r>
    </w:p>
    <w:p w:rsidR="00000000" w:rsidDel="00000000" w:rsidP="00000000" w:rsidRDefault="00000000" w:rsidRPr="00000000" w14:paraId="0000001F">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b w:val="1"/>
          <w:color w:val="002060"/>
          <w:sz w:val="20"/>
          <w:szCs w:val="20"/>
          <w:rtl w:val="0"/>
        </w:rPr>
        <w:t xml:space="preserve">Наглядова Рада</w:t>
      </w:r>
      <w:r w:rsidDel="00000000" w:rsidR="00000000" w:rsidRPr="00000000">
        <w:rPr>
          <w:rFonts w:ascii="Arial" w:cs="Arial" w:eastAsia="Arial" w:hAnsi="Arial"/>
          <w:color w:val="002060"/>
          <w:sz w:val="20"/>
          <w:szCs w:val="20"/>
          <w:rtl w:val="0"/>
        </w:rPr>
        <w:t xml:space="preserve"> Банку– Наглядова Рада АТ «ПІРЕУС БАНК МКБ»;</w:t>
      </w:r>
    </w:p>
    <w:p w:rsidR="00000000" w:rsidDel="00000000" w:rsidP="00000000" w:rsidRDefault="00000000" w:rsidRPr="00000000" w14:paraId="00000020">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b w:val="1"/>
          <w:color w:val="002060"/>
          <w:sz w:val="20"/>
          <w:szCs w:val="20"/>
          <w:rtl w:val="0"/>
        </w:rPr>
        <w:t xml:space="preserve">НБУ</w:t>
      </w:r>
      <w:r w:rsidDel="00000000" w:rsidR="00000000" w:rsidRPr="00000000">
        <w:rPr>
          <w:rFonts w:ascii="Arial" w:cs="Arial" w:eastAsia="Arial" w:hAnsi="Arial"/>
          <w:color w:val="002060"/>
          <w:sz w:val="20"/>
          <w:szCs w:val="20"/>
          <w:rtl w:val="0"/>
        </w:rPr>
        <w:t xml:space="preserve"> – Національний банк України; </w:t>
      </w:r>
    </w:p>
    <w:p w:rsidR="00000000" w:rsidDel="00000000" w:rsidP="00000000" w:rsidRDefault="00000000" w:rsidRPr="00000000" w14:paraId="00000021">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b w:val="1"/>
          <w:color w:val="002060"/>
          <w:sz w:val="20"/>
          <w:szCs w:val="20"/>
          <w:rtl w:val="0"/>
        </w:rPr>
        <w:t xml:space="preserve">НПК</w:t>
      </w:r>
      <w:r w:rsidDel="00000000" w:rsidR="00000000" w:rsidRPr="00000000">
        <w:rPr>
          <w:rFonts w:ascii="Arial" w:cs="Arial" w:eastAsia="Arial" w:hAnsi="Arial"/>
          <w:color w:val="002060"/>
          <w:sz w:val="20"/>
          <w:szCs w:val="20"/>
          <w:rtl w:val="0"/>
        </w:rPr>
        <w:t xml:space="preserve"> – належна перевірка клієнта;</w:t>
      </w:r>
    </w:p>
    <w:p w:rsidR="00000000" w:rsidDel="00000000" w:rsidP="00000000" w:rsidRDefault="00000000" w:rsidRPr="00000000" w14:paraId="00000022">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b w:val="1"/>
          <w:color w:val="002060"/>
          <w:sz w:val="20"/>
          <w:szCs w:val="20"/>
          <w:rtl w:val="0"/>
        </w:rPr>
        <w:t xml:space="preserve">ПВК/ФТ</w:t>
      </w:r>
      <w:r w:rsidDel="00000000" w:rsidR="00000000" w:rsidRPr="00000000">
        <w:rPr>
          <w:rFonts w:ascii="Arial" w:cs="Arial" w:eastAsia="Arial" w:hAnsi="Arial"/>
          <w:color w:val="002060"/>
          <w:sz w:val="20"/>
          <w:szCs w:val="20"/>
          <w:rtl w:val="0"/>
        </w:rPr>
        <w:t xml:space="preserve"> – запобігання та протидія легалізації (відмивання) доходів, одержаних злочинним шляхом, фінансуванню тероризму та фінансуванню розповсюдження зброї масового знищення;</w:t>
      </w:r>
    </w:p>
    <w:p w:rsidR="00000000" w:rsidDel="00000000" w:rsidP="00000000" w:rsidRDefault="00000000" w:rsidRPr="00000000" w14:paraId="00000023">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b w:val="1"/>
          <w:color w:val="002060"/>
          <w:sz w:val="20"/>
          <w:szCs w:val="20"/>
          <w:rtl w:val="0"/>
        </w:rPr>
        <w:t xml:space="preserve">перелік осіб</w:t>
      </w:r>
      <w:r w:rsidDel="00000000" w:rsidR="00000000" w:rsidRPr="00000000">
        <w:rPr>
          <w:rFonts w:ascii="Arial" w:cs="Arial" w:eastAsia="Arial" w:hAnsi="Arial"/>
          <w:color w:val="002060"/>
          <w:sz w:val="20"/>
          <w:szCs w:val="20"/>
          <w:rtl w:val="0"/>
        </w:rPr>
        <w:t xml:space="preserve">  - перелік терористів, пов’язаних з провадженням терористичної діяльності або стосовно яких застосовано міжнародні санкції, що формується в порядку, визначеному Кабінетом Міністрів України, та оприлюднюється на офіційному веб-сайті спеціально уповноваженого органу</w:t>
      </w:r>
    </w:p>
    <w:p w:rsidR="00000000" w:rsidDel="00000000" w:rsidP="00000000" w:rsidRDefault="00000000" w:rsidRPr="00000000" w14:paraId="00000024">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b w:val="1"/>
          <w:color w:val="002060"/>
          <w:sz w:val="20"/>
          <w:szCs w:val="20"/>
          <w:rtl w:val="0"/>
        </w:rPr>
        <w:t xml:space="preserve">СУО</w:t>
      </w:r>
      <w:r w:rsidDel="00000000" w:rsidR="00000000" w:rsidRPr="00000000">
        <w:rPr>
          <w:rFonts w:ascii="Arial" w:cs="Arial" w:eastAsia="Arial" w:hAnsi="Arial"/>
          <w:color w:val="002060"/>
          <w:sz w:val="20"/>
          <w:szCs w:val="20"/>
          <w:rtl w:val="0"/>
        </w:rPr>
        <w:t xml:space="preserve"> – спеціально уповноважений орган; </w:t>
      </w:r>
    </w:p>
    <w:p w:rsidR="00000000" w:rsidDel="00000000" w:rsidP="00000000" w:rsidRDefault="00000000" w:rsidRPr="00000000" w14:paraId="00000025">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b w:val="1"/>
          <w:color w:val="002060"/>
          <w:sz w:val="20"/>
          <w:szCs w:val="20"/>
          <w:rtl w:val="0"/>
        </w:rPr>
        <w:t xml:space="preserve">СПФМ</w:t>
      </w:r>
      <w:r w:rsidDel="00000000" w:rsidR="00000000" w:rsidRPr="00000000">
        <w:rPr>
          <w:rFonts w:ascii="Arial" w:cs="Arial" w:eastAsia="Arial" w:hAnsi="Arial"/>
          <w:color w:val="002060"/>
          <w:sz w:val="20"/>
          <w:szCs w:val="20"/>
          <w:rtl w:val="0"/>
        </w:rPr>
        <w:t xml:space="preserve"> – суб’єкт первинного фінансового моніторингу;</w:t>
      </w:r>
    </w:p>
    <w:p w:rsidR="00000000" w:rsidDel="00000000" w:rsidP="00000000" w:rsidRDefault="00000000" w:rsidRPr="00000000" w14:paraId="00000026">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b w:val="1"/>
          <w:color w:val="002060"/>
          <w:sz w:val="20"/>
          <w:szCs w:val="20"/>
          <w:rtl w:val="0"/>
        </w:rPr>
        <w:t xml:space="preserve">FATF</w:t>
      </w:r>
      <w:r w:rsidDel="00000000" w:rsidR="00000000" w:rsidRPr="00000000">
        <w:rPr>
          <w:rFonts w:ascii="Arial" w:cs="Arial" w:eastAsia="Arial" w:hAnsi="Arial"/>
          <w:color w:val="002060"/>
          <w:sz w:val="20"/>
          <w:szCs w:val="20"/>
          <w:rtl w:val="0"/>
        </w:rPr>
        <w:t xml:space="preserve"> - Група з розробки фінансових заходів боротьби з відмиванням грошей;</w:t>
      </w:r>
    </w:p>
    <w:p w:rsidR="00000000" w:rsidDel="00000000" w:rsidP="00000000" w:rsidRDefault="00000000" w:rsidRPr="00000000" w14:paraId="00000027">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b w:val="1"/>
          <w:color w:val="002060"/>
          <w:sz w:val="20"/>
          <w:szCs w:val="20"/>
          <w:rtl w:val="0"/>
        </w:rPr>
        <w:t xml:space="preserve">PEP</w:t>
      </w:r>
      <w:r w:rsidDel="00000000" w:rsidR="00000000" w:rsidRPr="00000000">
        <w:rPr>
          <w:rFonts w:ascii="Arial" w:cs="Arial" w:eastAsia="Arial" w:hAnsi="Arial"/>
          <w:color w:val="002060"/>
          <w:sz w:val="20"/>
          <w:szCs w:val="20"/>
          <w:rtl w:val="0"/>
        </w:rPr>
        <w:t xml:space="preserve"> (PEPs у множині) – фізична особа, яка є політично значущою особою, членом його сім’ї або особою, пов’язаною з політично значущою особою або інша особа, кінцевий бенефіціарний власник якої є політично значущою особою, членом його сім’ї або особою, пов’язаною з політично значущою особою;</w:t>
      </w:r>
    </w:p>
    <w:p w:rsidR="00000000" w:rsidDel="00000000" w:rsidP="00000000" w:rsidRDefault="00000000" w:rsidRPr="00000000" w14:paraId="00000028">
      <w:pPr>
        <w:spacing w:after="120" w:before="120" w:line="360" w:lineRule="auto"/>
        <w:jc w:val="both"/>
        <w:rPr>
          <w:rFonts w:ascii="Arial" w:cs="Arial" w:eastAsia="Arial" w:hAnsi="Arial"/>
          <w:color w:val="002060"/>
          <w:sz w:val="20"/>
          <w:szCs w:val="20"/>
          <w:u w:val="single"/>
        </w:rPr>
      </w:pPr>
      <w:r w:rsidDel="00000000" w:rsidR="00000000" w:rsidRPr="00000000">
        <w:rPr>
          <w:rFonts w:ascii="Arial" w:cs="Arial" w:eastAsia="Arial" w:hAnsi="Arial"/>
          <w:color w:val="002060"/>
          <w:sz w:val="20"/>
          <w:szCs w:val="20"/>
          <w:u w:val="single"/>
          <w:rtl w:val="0"/>
        </w:rPr>
        <w:t xml:space="preserve">У цій Політиці з ПВК/ФТ терміни та поняття вживаються в таких значеннях:</w:t>
      </w:r>
    </w:p>
    <w:p w:rsidR="00000000" w:rsidDel="00000000" w:rsidP="00000000" w:rsidRDefault="00000000" w:rsidRPr="00000000" w14:paraId="00000029">
      <w:pPr>
        <w:spacing w:after="120" w:before="120" w:line="360" w:lineRule="auto"/>
        <w:jc w:val="both"/>
        <w:rPr>
          <w:rFonts w:ascii="Arial" w:cs="Arial" w:eastAsia="Arial" w:hAnsi="Arial"/>
          <w:b w:val="1"/>
          <w:color w:val="002060"/>
          <w:sz w:val="20"/>
          <w:szCs w:val="20"/>
        </w:rPr>
      </w:pPr>
      <w:r w:rsidDel="00000000" w:rsidR="00000000" w:rsidRPr="00000000">
        <w:rPr>
          <w:rFonts w:ascii="Arial" w:cs="Arial" w:eastAsia="Arial" w:hAnsi="Arial"/>
          <w:b w:val="1"/>
          <w:color w:val="002060"/>
          <w:sz w:val="20"/>
          <w:szCs w:val="20"/>
          <w:rtl w:val="0"/>
        </w:rPr>
        <w:t xml:space="preserve">Банк – </w:t>
      </w:r>
      <w:r w:rsidDel="00000000" w:rsidR="00000000" w:rsidRPr="00000000">
        <w:rPr>
          <w:rFonts w:ascii="Arial" w:cs="Arial" w:eastAsia="Arial" w:hAnsi="Arial"/>
          <w:color w:val="002060"/>
          <w:sz w:val="20"/>
          <w:szCs w:val="20"/>
          <w:rtl w:val="0"/>
        </w:rPr>
        <w:t xml:space="preserve">АКЦІОНЕРНЕ ТОВАРИСТВО «ПІРЕУС БАНК МКБ»;</w:t>
      </w:r>
      <w:r w:rsidDel="00000000" w:rsidR="00000000" w:rsidRPr="00000000">
        <w:rPr>
          <w:rtl w:val="0"/>
        </w:rPr>
      </w:r>
    </w:p>
    <w:p w:rsidR="00000000" w:rsidDel="00000000" w:rsidP="00000000" w:rsidRDefault="00000000" w:rsidRPr="00000000" w14:paraId="0000002A">
      <w:pPr>
        <w:spacing w:after="120" w:before="120" w:line="360" w:lineRule="auto"/>
        <w:jc w:val="both"/>
        <w:rPr>
          <w:rFonts w:ascii="Arial" w:cs="Arial" w:eastAsia="Arial" w:hAnsi="Arial"/>
          <w:b w:val="1"/>
          <w:color w:val="002060"/>
          <w:sz w:val="20"/>
          <w:szCs w:val="20"/>
        </w:rPr>
      </w:pPr>
      <w:r w:rsidDel="00000000" w:rsidR="00000000" w:rsidRPr="00000000">
        <w:rPr>
          <w:rFonts w:ascii="Arial" w:cs="Arial" w:eastAsia="Arial" w:hAnsi="Arial"/>
          <w:b w:val="1"/>
          <w:color w:val="002060"/>
          <w:sz w:val="20"/>
          <w:szCs w:val="20"/>
          <w:rtl w:val="0"/>
        </w:rPr>
        <w:t xml:space="preserve">відповідальний виконавець - </w:t>
      </w:r>
      <w:r w:rsidDel="00000000" w:rsidR="00000000" w:rsidRPr="00000000">
        <w:rPr>
          <w:rFonts w:ascii="Arial" w:cs="Arial" w:eastAsia="Arial" w:hAnsi="Arial"/>
          <w:color w:val="002060"/>
          <w:sz w:val="20"/>
          <w:szCs w:val="20"/>
          <w:rtl w:val="0"/>
        </w:rPr>
        <w:t xml:space="preserve">працівник банку, який відповідно до його службових обов'язків та/або розпорядження керівництва Банку має повноваження виконувати певні операції та несе відповідальність за їх належне виконання;</w:t>
      </w:r>
      <w:r w:rsidDel="00000000" w:rsidR="00000000" w:rsidRPr="00000000">
        <w:rPr>
          <w:rtl w:val="0"/>
        </w:rPr>
      </w:r>
    </w:p>
    <w:p w:rsidR="00000000" w:rsidDel="00000000" w:rsidP="00000000" w:rsidRDefault="00000000" w:rsidRPr="00000000" w14:paraId="0000002B">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b w:val="1"/>
          <w:color w:val="002060"/>
          <w:sz w:val="20"/>
          <w:szCs w:val="20"/>
          <w:rtl w:val="0"/>
        </w:rPr>
        <w:t xml:space="preserve">Відповідальний працівник</w:t>
      </w:r>
      <w:r w:rsidDel="00000000" w:rsidR="00000000" w:rsidRPr="00000000">
        <w:rPr>
          <w:rFonts w:ascii="Arial" w:cs="Arial" w:eastAsia="Arial" w:hAnsi="Arial"/>
          <w:color w:val="002060"/>
          <w:sz w:val="20"/>
          <w:szCs w:val="20"/>
          <w:rtl w:val="0"/>
        </w:rPr>
        <w:t xml:space="preserve"> – відповідальний працівник Банку за проведення фінансового моніторингу;</w:t>
      </w:r>
    </w:p>
    <w:p w:rsidR="00000000" w:rsidDel="00000000" w:rsidP="00000000" w:rsidRDefault="00000000" w:rsidRPr="00000000" w14:paraId="0000002C">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b w:val="1"/>
          <w:color w:val="002060"/>
          <w:sz w:val="20"/>
          <w:szCs w:val="20"/>
          <w:rtl w:val="0"/>
        </w:rPr>
        <w:t xml:space="preserve">внутрішні документи банку з питань ПВК/ФТ</w:t>
      </w:r>
      <w:r w:rsidDel="00000000" w:rsidR="00000000" w:rsidRPr="00000000">
        <w:rPr>
          <w:rFonts w:ascii="Arial" w:cs="Arial" w:eastAsia="Arial" w:hAnsi="Arial"/>
          <w:color w:val="002060"/>
          <w:sz w:val="20"/>
          <w:szCs w:val="20"/>
          <w:rtl w:val="0"/>
        </w:rPr>
        <w:t xml:space="preserve"> – політика, правила, програми, методики, інші документи, що розроблені та затверджені банком з метою належного виконання функцій СПФМ;</w:t>
      </w:r>
    </w:p>
    <w:p w:rsidR="00000000" w:rsidDel="00000000" w:rsidP="00000000" w:rsidRDefault="00000000" w:rsidRPr="00000000" w14:paraId="0000002D">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b w:val="1"/>
          <w:color w:val="002060"/>
          <w:sz w:val="20"/>
          <w:szCs w:val="20"/>
          <w:rtl w:val="0"/>
        </w:rPr>
        <w:t xml:space="preserve">де-рискінг</w:t>
      </w:r>
      <w:r w:rsidDel="00000000" w:rsidR="00000000" w:rsidRPr="00000000">
        <w:rPr>
          <w:rFonts w:ascii="Arial" w:cs="Arial" w:eastAsia="Arial" w:hAnsi="Arial"/>
          <w:color w:val="002060"/>
          <w:sz w:val="20"/>
          <w:szCs w:val="20"/>
          <w:rtl w:val="0"/>
        </w:rPr>
        <w:t xml:space="preserve"> – явище, за якого СПФМ відмовляє у встановленні (підтриманні) ділових відносин з клієнтами з метою уникнення ризиків, а не управління ними;</w:t>
      </w:r>
    </w:p>
    <w:p w:rsidR="00000000" w:rsidDel="00000000" w:rsidP="00000000" w:rsidRDefault="00000000" w:rsidRPr="00000000" w14:paraId="0000002E">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b w:val="1"/>
          <w:color w:val="002060"/>
          <w:sz w:val="20"/>
          <w:szCs w:val="20"/>
          <w:rtl w:val="0"/>
        </w:rPr>
        <w:t xml:space="preserve">компанія-оболонка</w:t>
      </w:r>
      <w:r w:rsidDel="00000000" w:rsidR="00000000" w:rsidRPr="00000000">
        <w:rPr>
          <w:rFonts w:ascii="Arial" w:cs="Arial" w:eastAsia="Arial" w:hAnsi="Arial"/>
          <w:color w:val="002060"/>
          <w:sz w:val="20"/>
          <w:szCs w:val="20"/>
          <w:rtl w:val="0"/>
        </w:rPr>
        <w:t xml:space="preserve"> – юридична особа, траст або інше подібне правове утворення, щодо якої (якого) в банку є обґрунтовані підозри, що її (його) діяльність може бути фіктивною;</w:t>
      </w:r>
    </w:p>
    <w:p w:rsidR="00000000" w:rsidDel="00000000" w:rsidP="00000000" w:rsidRDefault="00000000" w:rsidRPr="00000000" w14:paraId="0000002F">
      <w:pPr>
        <w:spacing w:before="120" w:line="360" w:lineRule="auto"/>
        <w:jc w:val="both"/>
        <w:rPr>
          <w:rFonts w:ascii="Arial" w:cs="Arial" w:eastAsia="Arial" w:hAnsi="Arial"/>
          <w:color w:val="002060"/>
          <w:sz w:val="20"/>
          <w:szCs w:val="20"/>
        </w:rPr>
      </w:pPr>
      <w:r w:rsidDel="00000000" w:rsidR="00000000" w:rsidRPr="00000000">
        <w:rPr>
          <w:rFonts w:ascii="Arial" w:cs="Arial" w:eastAsia="Arial" w:hAnsi="Arial"/>
          <w:b w:val="1"/>
          <w:color w:val="002060"/>
          <w:sz w:val="20"/>
          <w:szCs w:val="20"/>
          <w:rtl w:val="0"/>
        </w:rPr>
        <w:t xml:space="preserve">належна перевірка</w:t>
      </w:r>
      <w:r w:rsidDel="00000000" w:rsidR="00000000" w:rsidRPr="00000000">
        <w:rPr>
          <w:rFonts w:ascii="Arial" w:cs="Arial" w:eastAsia="Arial" w:hAnsi="Arial"/>
          <w:color w:val="002060"/>
          <w:sz w:val="20"/>
          <w:szCs w:val="20"/>
          <w:rtl w:val="0"/>
        </w:rPr>
        <w:t xml:space="preserve"> - заходи, що включають:</w:t>
      </w:r>
    </w:p>
    <w:p w:rsidR="00000000" w:rsidDel="00000000" w:rsidP="00000000" w:rsidRDefault="00000000" w:rsidRPr="00000000" w14:paraId="0000003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ідентифікацію та верифікацію клієнта (його представника);</w:t>
      </w:r>
    </w:p>
    <w:p w:rsidR="00000000" w:rsidDel="00000000" w:rsidP="00000000" w:rsidRDefault="00000000" w:rsidRPr="00000000" w14:paraId="0000003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встановлення кінцевого бенефіціарного власника клієнта або його відсутності, у тому числі отримання структури власності з метою її розуміння, та даних, що дають змогу встановити кінцевого бенефіціарного власника, та вжиття заходів з верифікації його особи (за наявності);</w:t>
      </w:r>
    </w:p>
    <w:p w:rsidR="00000000" w:rsidDel="00000000" w:rsidP="00000000" w:rsidRDefault="00000000" w:rsidRPr="00000000" w14:paraId="0000003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встановлення (розуміння) мети та характеру майбутніх ділових відносин або проведення фінансової операції;</w:t>
      </w:r>
    </w:p>
    <w:p w:rsidR="00000000" w:rsidDel="00000000" w:rsidP="00000000" w:rsidRDefault="00000000" w:rsidRPr="00000000" w14:paraId="0000003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проведення на постійній основі моніторингу ділових відносин та фінансових операцій клієнта, що здійснюються у процесі таких відносин, щодо відповідності таких фінансових операцій наявній у суб'єкта первинного фінансового моніторингу інформації про клієнта, його діяльність та ризик (у тому числі, в разі необхідності, про джерело коштів, пов'язаних з фінансовими операціями);</w:t>
      </w:r>
    </w:p>
    <w:p w:rsidR="00000000" w:rsidDel="00000000" w:rsidP="00000000" w:rsidRDefault="00000000" w:rsidRPr="00000000" w14:paraId="0000003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забезпечення актуальності отриманих та існуючих документів, даних та інформації про клієнта;</w:t>
      </w:r>
    </w:p>
    <w:p w:rsidR="00000000" w:rsidDel="00000000" w:rsidP="00000000" w:rsidRDefault="00000000" w:rsidRPr="00000000" w14:paraId="00000035">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b w:val="1"/>
          <w:color w:val="002060"/>
          <w:sz w:val="20"/>
          <w:szCs w:val="20"/>
          <w:rtl w:val="0"/>
        </w:rPr>
        <w:t xml:space="preserve">прийнятний рівень ризиків ВК/ФТ</w:t>
      </w:r>
      <w:r w:rsidDel="00000000" w:rsidR="00000000" w:rsidRPr="00000000">
        <w:rPr>
          <w:rFonts w:ascii="Arial" w:cs="Arial" w:eastAsia="Arial" w:hAnsi="Arial"/>
          <w:color w:val="002060"/>
          <w:sz w:val="20"/>
          <w:szCs w:val="20"/>
          <w:rtl w:val="0"/>
        </w:rPr>
        <w:t xml:space="preserve"> – ризик, який є керованим, підконтрольним банку, не може спричинити підвищення юридичного ризику та ризику репутації, а також погіршення фінансових результатів діяльності банку чи завдати шкоди його кредиторам і клієнтам;</w:t>
      </w:r>
    </w:p>
    <w:p w:rsidR="00000000" w:rsidDel="00000000" w:rsidP="00000000" w:rsidRDefault="00000000" w:rsidRPr="00000000" w14:paraId="00000036">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b w:val="1"/>
          <w:color w:val="002060"/>
          <w:sz w:val="20"/>
          <w:szCs w:val="20"/>
          <w:rtl w:val="0"/>
        </w:rPr>
        <w:t xml:space="preserve">ризик-апетит</w:t>
      </w:r>
      <w:r w:rsidDel="00000000" w:rsidR="00000000" w:rsidRPr="00000000">
        <w:rPr>
          <w:rFonts w:ascii="Arial" w:cs="Arial" w:eastAsia="Arial" w:hAnsi="Arial"/>
          <w:color w:val="002060"/>
          <w:sz w:val="20"/>
          <w:szCs w:val="20"/>
          <w:rtl w:val="0"/>
        </w:rPr>
        <w:t xml:space="preserve"> (схильність до ризику) банку у сфері ПВК/ФТ – величина ризику ВК/ФТ, визначена наперед та в межах прийнятного рівня ризику ВК/ФТ, щодо якої банк прийняв рішення про доцільність/необхідність її утримання з метою досягнення його стратегічних цілей та виконання бізнес-плану;</w:t>
      </w:r>
    </w:p>
    <w:p w:rsidR="00000000" w:rsidDel="00000000" w:rsidP="00000000" w:rsidRDefault="00000000" w:rsidRPr="00000000" w14:paraId="00000037">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b w:val="1"/>
          <w:color w:val="002060"/>
          <w:sz w:val="20"/>
          <w:szCs w:val="20"/>
          <w:rtl w:val="0"/>
        </w:rPr>
        <w:t xml:space="preserve">ризик репутації</w:t>
      </w:r>
      <w:r w:rsidDel="00000000" w:rsidR="00000000" w:rsidRPr="00000000">
        <w:rPr>
          <w:rFonts w:ascii="Arial" w:cs="Arial" w:eastAsia="Arial" w:hAnsi="Arial"/>
          <w:color w:val="002060"/>
          <w:sz w:val="20"/>
          <w:szCs w:val="20"/>
          <w:rtl w:val="0"/>
        </w:rPr>
        <w:t xml:space="preserve"> – наявний або потенційний ризик для надходжень і капіталу, який виникає через несприятливе сприйняття іміджу банку клієнтами, контрагентами, потенційними інвесторами або органами нагляду, який впливає на спроможність банку встановлювати нові відносини з контрагентами, надавати нові послуги або підтримувати наявні відносини, та може призвести банк (або його керівників) до фінансових втрат або зменшення клієнтської бази, притягнення до адміністративної, цивільної або кримінальної відповідальності;</w:t>
      </w:r>
    </w:p>
    <w:p w:rsidR="00000000" w:rsidDel="00000000" w:rsidP="00000000" w:rsidRDefault="00000000" w:rsidRPr="00000000" w14:paraId="00000038">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b w:val="1"/>
          <w:color w:val="002060"/>
          <w:sz w:val="20"/>
          <w:szCs w:val="20"/>
          <w:rtl w:val="0"/>
        </w:rPr>
        <w:t xml:space="preserve">ризик юридичний</w:t>
      </w:r>
      <w:r w:rsidDel="00000000" w:rsidR="00000000" w:rsidRPr="00000000">
        <w:rPr>
          <w:rFonts w:ascii="Arial" w:cs="Arial" w:eastAsia="Arial" w:hAnsi="Arial"/>
          <w:color w:val="002060"/>
          <w:sz w:val="20"/>
          <w:szCs w:val="20"/>
          <w:rtl w:val="0"/>
        </w:rPr>
        <w:t xml:space="preserve"> – наявний чи потенційний ризик для надходжень чи капіталу банку, який виникає через порушення або недотримання банком вимог законів України, нормативно-правових актів та може призвести банк до фінансових втрат, зловживань, притягнення банку та/або його керівників до адміністративної, цивільної або кримінальної відповідальності;</w:t>
      </w:r>
    </w:p>
    <w:p w:rsidR="00000000" w:rsidDel="00000000" w:rsidP="00000000" w:rsidRDefault="00000000" w:rsidRPr="00000000" w14:paraId="00000039">
      <w:pPr>
        <w:spacing w:after="120" w:before="120" w:line="360" w:lineRule="auto"/>
        <w:jc w:val="both"/>
        <w:rPr>
          <w:rFonts w:ascii="Arial" w:cs="Arial" w:eastAsia="Arial" w:hAnsi="Arial"/>
          <w:b w:val="1"/>
          <w:color w:val="002060"/>
          <w:sz w:val="20"/>
          <w:szCs w:val="20"/>
        </w:rPr>
      </w:pPr>
      <w:r w:rsidDel="00000000" w:rsidR="00000000" w:rsidRPr="00000000">
        <w:rPr>
          <w:rFonts w:ascii="Arial" w:cs="Arial" w:eastAsia="Arial" w:hAnsi="Arial"/>
          <w:b w:val="1"/>
          <w:color w:val="002060"/>
          <w:sz w:val="20"/>
          <w:szCs w:val="20"/>
          <w:rtl w:val="0"/>
        </w:rPr>
        <w:t xml:space="preserve">1.3. Нормативно-правова база</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Arial" w:cs="Arial" w:eastAsia="Arial" w:hAnsi="Arial"/>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Політика розроблена відповідно до вимог чинного законодавства та внутрішніх документів Банку, зокрема:</w:t>
      </w:r>
    </w:p>
    <w:p w:rsidR="00000000" w:rsidDel="00000000" w:rsidP="00000000" w:rsidRDefault="00000000" w:rsidRPr="00000000" w14:paraId="0000003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Закону України «Про банки і банківську діяльність» від 07 грудня 2000 року № 2121-III [із змінами та доповненнями (далі – Закон Про банки)]</w:t>
      </w:r>
    </w:p>
    <w:p w:rsidR="00000000" w:rsidDel="00000000" w:rsidP="00000000" w:rsidRDefault="00000000" w:rsidRPr="00000000" w14:paraId="0000003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від 06 грудня 2019 року № 361-IX [із змінами та доповненнями (далі – Закон про ПВК/ФТ)];</w:t>
      </w:r>
    </w:p>
    <w:p w:rsidR="00000000" w:rsidDel="00000000" w:rsidP="00000000" w:rsidRDefault="00000000" w:rsidRPr="00000000" w14:paraId="0000003D">
      <w:pPr>
        <w:keepNext w:val="0"/>
        <w:keepLines w:val="0"/>
        <w:pageBreakBefore w:val="0"/>
        <w:widowControl w:val="1"/>
        <w:numPr>
          <w:ilvl w:val="0"/>
          <w:numId w:val="17"/>
        </w:numPr>
        <w:pBdr>
          <w:top w:color="000000" w:space="0" w:sz="0" w:val="none"/>
          <w:left w:color="000000" w:space="0" w:sz="0" w:val="none"/>
          <w:bottom w:color="000000" w:space="0" w:sz="0" w:val="none"/>
          <w:right w:color="000000" w:space="0" w:sz="0" w:val="none"/>
          <w:between w:color="000000" w:space="0" w:sz="0" w:val="none"/>
        </w:pBdr>
        <w:shd w:fill="auto" w:val="clear"/>
        <w:spacing w:after="0" w:before="120" w:line="360" w:lineRule="auto"/>
        <w:ind w:left="720" w:right="0" w:hanging="36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ЗАКОН УКРАЇНИ Про визнання таким, що втратив чинність, Закону України "Про створення вільної економічної зони "Крим" та про особливості здійснення економічної діяльності на тимчасово окупованій території України" та внесення змін до деяких законодавчих актів України</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від 01.07.2021р № 1618-IX.</w:t>
      </w:r>
    </w:p>
    <w:p w:rsidR="00000000" w:rsidDel="00000000" w:rsidP="00000000" w:rsidRDefault="00000000" w:rsidRPr="00000000" w14:paraId="000000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«Положення про здійснення банками фінансового моніторингу», затверджене Постановою Правління Національного банку України від 19 травня 2020 року  №65 (надалі – Постанова № 65);</w:t>
      </w:r>
    </w:p>
    <w:p w:rsidR="00000000" w:rsidDel="00000000" w:rsidP="00000000" w:rsidRDefault="00000000" w:rsidRPr="00000000" w14:paraId="0000003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«Положення про ліцензування банків», затверджене Постановою Правління Національного банку України від 22 грудня 2018 року N 149 (із змінами і доповненнями).</w:t>
      </w:r>
    </w:p>
    <w:p w:rsidR="00000000" w:rsidDel="00000000" w:rsidP="00000000" w:rsidRDefault="00000000" w:rsidRPr="00000000" w14:paraId="0000004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«Положення про організацію системи управління ризиками в банках України та банківських групах», затверджене Постановою Правління Національного банку України від 11 червня 2018 року N 64 (із змінами і доповненнями). (надалі – Постанова № 64)</w:t>
      </w:r>
    </w:p>
    <w:p w:rsidR="00000000" w:rsidDel="00000000" w:rsidP="00000000" w:rsidRDefault="00000000" w:rsidRPr="00000000" w14:paraId="00000041">
      <w:pPr>
        <w:pStyle w:val="Heading1"/>
        <w:numPr>
          <w:ilvl w:val="0"/>
          <w:numId w:val="5"/>
        </w:numPr>
        <w:spacing w:after="120" w:before="120" w:line="360" w:lineRule="auto"/>
        <w:ind w:left="360" w:hanging="360"/>
        <w:rPr>
          <w:rFonts w:ascii="Arial" w:cs="Arial" w:eastAsia="Arial" w:hAnsi="Arial"/>
          <w:b w:val="1"/>
          <w:color w:val="002060"/>
          <w:sz w:val="20"/>
          <w:szCs w:val="20"/>
        </w:rPr>
      </w:pPr>
      <w:bookmarkStart w:colFirst="0" w:colLast="0" w:name="_30j0zll" w:id="1"/>
      <w:bookmarkEnd w:id="1"/>
      <w:r w:rsidDel="00000000" w:rsidR="00000000" w:rsidRPr="00000000">
        <w:rPr>
          <w:rFonts w:ascii="Arial" w:cs="Arial" w:eastAsia="Arial" w:hAnsi="Arial"/>
          <w:b w:val="1"/>
          <w:color w:val="002060"/>
          <w:sz w:val="20"/>
          <w:szCs w:val="20"/>
          <w:rtl w:val="0"/>
        </w:rPr>
        <w:t xml:space="preserve">МЕТА, ЗАВДАННЯ ТА ПРИНЦИПИ ПВК/ФТ</w:t>
      </w:r>
    </w:p>
    <w:p w:rsidR="00000000" w:rsidDel="00000000" w:rsidP="00000000" w:rsidRDefault="00000000" w:rsidRPr="00000000" w14:paraId="0000004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360" w:lineRule="auto"/>
        <w:ind w:left="792" w:right="0" w:hanging="432"/>
        <w:jc w:val="both"/>
        <w:rPr>
          <w:rFonts w:ascii="Arial" w:cs="Arial" w:eastAsia="Arial" w:hAnsi="Arial"/>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Мета Політики з ПВК/ФТ</w:t>
      </w:r>
    </w:p>
    <w:p w:rsidR="00000000" w:rsidDel="00000000" w:rsidP="00000000" w:rsidRDefault="00000000" w:rsidRPr="00000000" w14:paraId="00000043">
      <w:pPr>
        <w:spacing w:after="120" w:before="120" w:line="360" w:lineRule="auto"/>
        <w:jc w:val="both"/>
        <w:rPr>
          <w:rFonts w:ascii="Arial" w:cs="Arial" w:eastAsia="Arial" w:hAnsi="Arial"/>
          <w:color w:val="002060"/>
          <w:sz w:val="20"/>
          <w:szCs w:val="20"/>
        </w:rPr>
      </w:pPr>
      <w:bookmarkStart w:colFirst="0" w:colLast="0" w:name="_3dy6vkm" w:id="2"/>
      <w:bookmarkEnd w:id="2"/>
      <w:r w:rsidDel="00000000" w:rsidR="00000000" w:rsidRPr="00000000">
        <w:rPr>
          <w:rFonts w:ascii="Arial" w:cs="Arial" w:eastAsia="Arial" w:hAnsi="Arial"/>
          <w:color w:val="002060"/>
          <w:sz w:val="20"/>
          <w:szCs w:val="20"/>
          <w:rtl w:val="0"/>
        </w:rPr>
        <w:t xml:space="preserve">Метою впровадження Політики з ПВК/ФТ є забезпечення відповідності діяльності Банку вимогам чинного законодавства України, нормативно-правових актів спеціально уповноваженого органу виконавчої влади з питань фінансового моніторингу (далі - СУО), Національного банку України (далі - НБУ), Міністерства фінансів України, рекомендацій Групи з розробки фінансових заходів боротьби з відмиванням грошей (FATF) та Базельського комітету банківського нагляду та інших офіційних документів, що регулюють питання запобігання та протидії легалізації (відмивання) доходів, одержаних злочинним шляхом, фінансування тероризму та/або фінансування розповсюдження зброї масового знищення, а також внутрішніх нормативних документів Банку, які є обов’язковими до виконання працівниками Банку (залежно від їх посадових обов'язків), з врахуванням норм законодавства України.</w:t>
      </w:r>
    </w:p>
    <w:p w:rsidR="00000000" w:rsidDel="00000000" w:rsidP="00000000" w:rsidRDefault="00000000" w:rsidRPr="00000000" w14:paraId="0000004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360" w:lineRule="auto"/>
        <w:ind w:left="792" w:right="0" w:hanging="432"/>
        <w:jc w:val="both"/>
        <w:rPr>
          <w:rFonts w:ascii="Arial" w:cs="Arial" w:eastAsia="Arial" w:hAnsi="Arial"/>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Завдання Політики з ПВК/ФТ</w:t>
      </w:r>
    </w:p>
    <w:p w:rsidR="00000000" w:rsidDel="00000000" w:rsidP="00000000" w:rsidRDefault="00000000" w:rsidRPr="00000000" w14:paraId="00000045">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Завданням впровадження Політики з ПВК/ФТ є:</w:t>
      </w:r>
    </w:p>
    <w:p w:rsidR="00000000" w:rsidDel="00000000" w:rsidP="00000000" w:rsidRDefault="00000000" w:rsidRPr="00000000" w14:paraId="0000004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створення належної організації та функціонування внутрішньобанківської системи ПВК/ФТ та проведення первинного фінансового моніторингу;</w:t>
      </w:r>
    </w:p>
    <w:p w:rsidR="00000000" w:rsidDel="00000000" w:rsidP="00000000" w:rsidRDefault="00000000" w:rsidRPr="00000000" w14:paraId="00000047">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забезпечення функціонування належної системи управління ризиками ВК/ФТ;</w:t>
      </w:r>
    </w:p>
    <w:p w:rsidR="00000000" w:rsidDel="00000000" w:rsidP="00000000" w:rsidRDefault="00000000" w:rsidRPr="00000000" w14:paraId="0000004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визначення ризик-апетиту Банку у сфері ПВК/ФТ (уключаючи, за наявності, встановлені заборони/обмеження щодо провадження окремих видів діяльності та/або залучення окремих типів клієнтів на обслуговування);</w:t>
      </w:r>
    </w:p>
    <w:p w:rsidR="00000000" w:rsidDel="00000000" w:rsidP="00000000" w:rsidRDefault="00000000" w:rsidRPr="00000000" w14:paraId="00000049">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встановлення обсягу необхідних до розроблення та затвердження внутрішніх документів Банку з питань ПВК/ФТ;</w:t>
      </w:r>
    </w:p>
    <w:p w:rsidR="00000000" w:rsidDel="00000000" w:rsidP="00000000" w:rsidRDefault="00000000" w:rsidRPr="00000000" w14:paraId="0000004A">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встановлення вимог до побудови трьох ліній захисту в сфері ПВК/ФТ і розподілу обов’язків та відповідальності між працівниками Банку;</w:t>
      </w:r>
    </w:p>
    <w:p w:rsidR="00000000" w:rsidDel="00000000" w:rsidP="00000000" w:rsidRDefault="00000000" w:rsidRPr="00000000" w14:paraId="0000004B">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забезпечення функціонування внутрішнього контролю з питань ПВК/ФТ;</w:t>
      </w:r>
    </w:p>
    <w:p w:rsidR="00000000" w:rsidDel="00000000" w:rsidP="00000000" w:rsidRDefault="00000000" w:rsidRPr="00000000" w14:paraId="0000004C">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проведення навчальних заходів з питань ПВК/ФТ</w:t>
      </w:r>
    </w:p>
    <w:bookmarkStart w:colFirst="0" w:colLast="0" w:name="1t3h5sf" w:id="3"/>
    <w:bookmarkEnd w:id="3"/>
    <w:p w:rsidR="00000000" w:rsidDel="00000000" w:rsidP="00000000" w:rsidRDefault="00000000" w:rsidRPr="00000000" w14:paraId="0000004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360" w:lineRule="auto"/>
        <w:ind w:left="792" w:right="0" w:hanging="432"/>
        <w:jc w:val="both"/>
        <w:rPr>
          <w:rFonts w:ascii="Arial" w:cs="Arial" w:eastAsia="Arial" w:hAnsi="Arial"/>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Принципи Політики з ПВК/ФТ</w:t>
      </w:r>
    </w:p>
    <w:p w:rsidR="00000000" w:rsidDel="00000000" w:rsidP="00000000" w:rsidRDefault="00000000" w:rsidRPr="00000000" w14:paraId="0000004E">
      <w:pPr>
        <w:spacing w:after="120" w:before="120" w:line="360" w:lineRule="auto"/>
        <w:jc w:val="both"/>
        <w:rPr>
          <w:rFonts w:ascii="Arial" w:cs="Arial" w:eastAsia="Arial" w:hAnsi="Arial"/>
          <w:b w:val="1"/>
          <w:color w:val="002060"/>
          <w:sz w:val="20"/>
          <w:szCs w:val="20"/>
        </w:rPr>
      </w:pPr>
      <w:r w:rsidDel="00000000" w:rsidR="00000000" w:rsidRPr="00000000">
        <w:rPr>
          <w:rFonts w:ascii="Arial" w:cs="Arial" w:eastAsia="Arial" w:hAnsi="Arial"/>
          <w:b w:val="1"/>
          <w:color w:val="002060"/>
          <w:sz w:val="20"/>
          <w:szCs w:val="20"/>
          <w:rtl w:val="0"/>
        </w:rPr>
        <w:t xml:space="preserve">Політика з ПВК/ФТ ґрунтуються на основних принципах</w:t>
      </w:r>
      <w:r w:rsidDel="00000000" w:rsidR="00000000" w:rsidRPr="00000000">
        <w:rPr>
          <w:rFonts w:ascii="Arial" w:cs="Arial" w:eastAsia="Arial" w:hAnsi="Arial"/>
          <w:color w:val="002060"/>
          <w:sz w:val="20"/>
          <w:szCs w:val="20"/>
          <w:rtl w:val="0"/>
        </w:rPr>
        <w:t xml:space="preserve"> </w:t>
      </w:r>
      <w:r w:rsidDel="00000000" w:rsidR="00000000" w:rsidRPr="00000000">
        <w:rPr>
          <w:rFonts w:ascii="Arial" w:cs="Arial" w:eastAsia="Arial" w:hAnsi="Arial"/>
          <w:b w:val="1"/>
          <w:color w:val="002060"/>
          <w:sz w:val="20"/>
          <w:szCs w:val="20"/>
          <w:rtl w:val="0"/>
        </w:rPr>
        <w:t xml:space="preserve">запобігання та протидії:</w:t>
      </w:r>
    </w:p>
    <w:bookmarkStart w:colFirst="0" w:colLast="0" w:name="4d34og8" w:id="4"/>
    <w:bookmarkEnd w:id="4"/>
    <w:p w:rsidR="00000000" w:rsidDel="00000000" w:rsidP="00000000" w:rsidRDefault="00000000" w:rsidRPr="00000000" w14:paraId="0000004F">
      <w:pPr>
        <w:numPr>
          <w:ilvl w:val="0"/>
          <w:numId w:val="14"/>
        </w:numPr>
        <w:spacing w:after="120" w:before="120" w:line="360" w:lineRule="auto"/>
        <w:ind w:left="0" w:firstLine="0"/>
        <w:jc w:val="both"/>
        <w:rPr>
          <w:color w:val="002060"/>
          <w:sz w:val="20"/>
          <w:szCs w:val="20"/>
        </w:rPr>
      </w:pPr>
      <w:r w:rsidDel="00000000" w:rsidR="00000000" w:rsidRPr="00000000">
        <w:rPr>
          <w:rFonts w:ascii="Arial" w:cs="Arial" w:eastAsia="Arial" w:hAnsi="Arial"/>
          <w:color w:val="002060"/>
          <w:sz w:val="20"/>
          <w:szCs w:val="20"/>
          <w:rtl w:val="0"/>
        </w:rPr>
        <w:t xml:space="preserve">пріоритетності захисту законних інтересів громадян, суспільства і держави від шкоди, заподіяної внаслідок легалізації (відмивання) доходів, одержаних злочинним шляхом, фінансування тероризму та фінансування розповсюдження зброї масового знищення;</w:t>
      </w:r>
    </w:p>
    <w:bookmarkStart w:colFirst="0" w:colLast="0" w:name="2s8eyo1" w:id="5"/>
    <w:bookmarkEnd w:id="5"/>
    <w:p w:rsidR="00000000" w:rsidDel="00000000" w:rsidP="00000000" w:rsidRDefault="00000000" w:rsidRPr="00000000" w14:paraId="00000050">
      <w:pPr>
        <w:numPr>
          <w:ilvl w:val="0"/>
          <w:numId w:val="14"/>
        </w:numPr>
        <w:spacing w:after="120" w:before="120" w:line="360" w:lineRule="auto"/>
        <w:ind w:left="0" w:firstLine="0"/>
        <w:jc w:val="both"/>
        <w:rPr>
          <w:color w:val="002060"/>
          <w:sz w:val="20"/>
          <w:szCs w:val="20"/>
        </w:rPr>
      </w:pPr>
      <w:r w:rsidDel="00000000" w:rsidR="00000000" w:rsidRPr="00000000">
        <w:rPr>
          <w:rFonts w:ascii="Arial" w:cs="Arial" w:eastAsia="Arial" w:hAnsi="Arial"/>
          <w:color w:val="002060"/>
          <w:sz w:val="20"/>
          <w:szCs w:val="20"/>
          <w:rtl w:val="0"/>
        </w:rPr>
        <w:t xml:space="preserve">надання пріоритету заходам із запобігання легалізації (відмиванню) доходів, одержаних злочинним шляхом, фінансуванню тероризму та фінансуванню розповсюдження зброї масового знищення над заходами з протидії їм;</w:t>
      </w:r>
    </w:p>
    <w:bookmarkStart w:colFirst="0" w:colLast="0" w:name="17dp8vu" w:id="6"/>
    <w:bookmarkEnd w:id="6"/>
    <w:p w:rsidR="00000000" w:rsidDel="00000000" w:rsidP="00000000" w:rsidRDefault="00000000" w:rsidRPr="00000000" w14:paraId="00000051">
      <w:pPr>
        <w:numPr>
          <w:ilvl w:val="0"/>
          <w:numId w:val="14"/>
        </w:numPr>
        <w:spacing w:after="120" w:before="120" w:line="360" w:lineRule="auto"/>
        <w:ind w:left="0" w:firstLine="0"/>
        <w:jc w:val="both"/>
        <w:rPr>
          <w:color w:val="002060"/>
          <w:sz w:val="20"/>
          <w:szCs w:val="20"/>
        </w:rPr>
      </w:pPr>
      <w:r w:rsidDel="00000000" w:rsidR="00000000" w:rsidRPr="00000000">
        <w:rPr>
          <w:rFonts w:ascii="Arial" w:cs="Arial" w:eastAsia="Arial" w:hAnsi="Arial"/>
          <w:color w:val="002060"/>
          <w:sz w:val="20"/>
          <w:szCs w:val="20"/>
          <w:rtl w:val="0"/>
        </w:rPr>
        <w:t xml:space="preserve">застосування ризик-орієнтованого підходу під час проведення фінансового моніторингу;</w:t>
      </w:r>
    </w:p>
    <w:bookmarkStart w:colFirst="0" w:colLast="0" w:name="3rdcrjn" w:id="7"/>
    <w:bookmarkEnd w:id="7"/>
    <w:p w:rsidR="00000000" w:rsidDel="00000000" w:rsidP="00000000" w:rsidRDefault="00000000" w:rsidRPr="00000000" w14:paraId="00000052">
      <w:pPr>
        <w:numPr>
          <w:ilvl w:val="0"/>
          <w:numId w:val="14"/>
        </w:numPr>
        <w:spacing w:after="120" w:before="120" w:line="360" w:lineRule="auto"/>
        <w:ind w:left="0" w:firstLine="0"/>
        <w:jc w:val="both"/>
        <w:rPr>
          <w:color w:val="002060"/>
          <w:sz w:val="20"/>
          <w:szCs w:val="20"/>
        </w:rPr>
      </w:pPr>
      <w:r w:rsidDel="00000000" w:rsidR="00000000" w:rsidRPr="00000000">
        <w:rPr>
          <w:rFonts w:ascii="Arial" w:cs="Arial" w:eastAsia="Arial" w:hAnsi="Arial"/>
          <w:color w:val="002060"/>
          <w:sz w:val="20"/>
          <w:szCs w:val="20"/>
          <w:rtl w:val="0"/>
        </w:rPr>
        <w:t xml:space="preserve">координованості взаємодії учасників внутрішньобанківської системи запобігання та протидії;</w:t>
      </w:r>
    </w:p>
    <w:bookmarkStart w:colFirst="0" w:colLast="0" w:name="26in1rg" w:id="8"/>
    <w:bookmarkEnd w:id="8"/>
    <w:p w:rsidR="00000000" w:rsidDel="00000000" w:rsidP="00000000" w:rsidRDefault="00000000" w:rsidRPr="00000000" w14:paraId="00000053">
      <w:pPr>
        <w:numPr>
          <w:ilvl w:val="0"/>
          <w:numId w:val="14"/>
        </w:numPr>
        <w:spacing w:after="120" w:before="120" w:line="360" w:lineRule="auto"/>
        <w:ind w:left="0" w:firstLine="0"/>
        <w:jc w:val="both"/>
        <w:rPr>
          <w:color w:val="002060"/>
          <w:sz w:val="20"/>
          <w:szCs w:val="20"/>
        </w:rPr>
      </w:pPr>
      <w:r w:rsidDel="00000000" w:rsidR="00000000" w:rsidRPr="00000000">
        <w:rPr>
          <w:rFonts w:ascii="Arial" w:cs="Arial" w:eastAsia="Arial" w:hAnsi="Arial"/>
          <w:color w:val="002060"/>
          <w:sz w:val="20"/>
          <w:szCs w:val="20"/>
          <w:rtl w:val="0"/>
        </w:rPr>
        <w:t xml:space="preserve">невідворотності застосування заходів щодо замороження активів, пов'язаних з тероризмом та його фінансуванням, розповсюдженням зброї масового знищення та його фінансуванням;</w:t>
      </w:r>
    </w:p>
    <w:bookmarkStart w:colFirst="0" w:colLast="0" w:name="lnxbz9" w:id="9"/>
    <w:bookmarkEnd w:id="9"/>
    <w:p w:rsidR="00000000" w:rsidDel="00000000" w:rsidP="00000000" w:rsidRDefault="00000000" w:rsidRPr="00000000" w14:paraId="00000054">
      <w:pPr>
        <w:numPr>
          <w:ilvl w:val="0"/>
          <w:numId w:val="14"/>
        </w:numPr>
        <w:spacing w:after="120" w:before="120" w:line="360" w:lineRule="auto"/>
        <w:ind w:left="0" w:firstLine="0"/>
        <w:jc w:val="both"/>
        <w:rPr>
          <w:color w:val="002060"/>
          <w:sz w:val="20"/>
          <w:szCs w:val="20"/>
        </w:rPr>
      </w:pPr>
      <w:r w:rsidDel="00000000" w:rsidR="00000000" w:rsidRPr="00000000">
        <w:rPr>
          <w:rFonts w:ascii="Arial" w:cs="Arial" w:eastAsia="Arial" w:hAnsi="Arial"/>
          <w:color w:val="002060"/>
          <w:sz w:val="20"/>
          <w:szCs w:val="20"/>
          <w:rtl w:val="0"/>
        </w:rPr>
        <w:t xml:space="preserve">невідворотності покарання та переконливості і пропорційності заходів впливу за порушення законодавства у сфері запобігання та протидії;</w:t>
      </w:r>
    </w:p>
    <w:bookmarkStart w:colFirst="0" w:colLast="0" w:name="35nkun2" w:id="10"/>
    <w:bookmarkEnd w:id="10"/>
    <w:p w:rsidR="00000000" w:rsidDel="00000000" w:rsidP="00000000" w:rsidRDefault="00000000" w:rsidRPr="00000000" w14:paraId="00000055">
      <w:pPr>
        <w:numPr>
          <w:ilvl w:val="0"/>
          <w:numId w:val="14"/>
        </w:numPr>
        <w:spacing w:after="120" w:before="120" w:line="360" w:lineRule="auto"/>
        <w:ind w:left="0" w:firstLine="0"/>
        <w:jc w:val="both"/>
        <w:rPr>
          <w:color w:val="002060"/>
          <w:sz w:val="20"/>
          <w:szCs w:val="20"/>
        </w:rPr>
      </w:pPr>
      <w:r w:rsidDel="00000000" w:rsidR="00000000" w:rsidRPr="00000000">
        <w:rPr>
          <w:rFonts w:ascii="Arial" w:cs="Arial" w:eastAsia="Arial" w:hAnsi="Arial"/>
          <w:color w:val="002060"/>
          <w:sz w:val="20"/>
          <w:szCs w:val="20"/>
          <w:rtl w:val="0"/>
        </w:rPr>
        <w:t xml:space="preserve">захисту Працівників Банку від погроз та інших негативних чи дискримінаційних дій, пов'язаних з виконанням вимог Закону про ПВК/ФТ;</w:t>
      </w:r>
    </w:p>
    <w:bookmarkStart w:colFirst="0" w:colLast="0" w:name="1ksv4uv" w:id="11"/>
    <w:bookmarkEnd w:id="11"/>
    <w:p w:rsidR="00000000" w:rsidDel="00000000" w:rsidP="00000000" w:rsidRDefault="00000000" w:rsidRPr="00000000" w14:paraId="00000056">
      <w:pPr>
        <w:numPr>
          <w:ilvl w:val="0"/>
          <w:numId w:val="14"/>
        </w:numPr>
        <w:spacing w:after="120" w:before="120" w:line="360" w:lineRule="auto"/>
        <w:ind w:left="0" w:firstLine="0"/>
        <w:jc w:val="both"/>
        <w:rPr>
          <w:color w:val="002060"/>
          <w:sz w:val="20"/>
          <w:szCs w:val="20"/>
        </w:rPr>
      </w:pPr>
      <w:r w:rsidDel="00000000" w:rsidR="00000000" w:rsidRPr="00000000">
        <w:rPr>
          <w:rFonts w:ascii="Arial" w:cs="Arial" w:eastAsia="Arial" w:hAnsi="Arial"/>
          <w:color w:val="002060"/>
          <w:sz w:val="20"/>
          <w:szCs w:val="20"/>
          <w:rtl w:val="0"/>
        </w:rPr>
        <w:t xml:space="preserve">звільнення від відповідальності за шкоду, заподіяну у зв'язку з виконанням обов'язків щодо проведення фінансового моніторингу у межах та у спосіб, що передбачені Законом про ПВК/ФТ;</w:t>
      </w:r>
    </w:p>
    <w:bookmarkStart w:colFirst="0" w:colLast="0" w:name="44sinio" w:id="12"/>
    <w:bookmarkEnd w:id="12"/>
    <w:p w:rsidR="00000000" w:rsidDel="00000000" w:rsidP="00000000" w:rsidRDefault="00000000" w:rsidRPr="00000000" w14:paraId="00000057">
      <w:pPr>
        <w:numPr>
          <w:ilvl w:val="0"/>
          <w:numId w:val="14"/>
        </w:numPr>
        <w:spacing w:after="120" w:before="120" w:line="360" w:lineRule="auto"/>
        <w:ind w:left="0" w:firstLine="0"/>
        <w:jc w:val="both"/>
        <w:rPr>
          <w:color w:val="002060"/>
          <w:sz w:val="20"/>
          <w:szCs w:val="20"/>
        </w:rPr>
      </w:pPr>
      <w:r w:rsidDel="00000000" w:rsidR="00000000" w:rsidRPr="00000000">
        <w:rPr>
          <w:rFonts w:ascii="Arial" w:cs="Arial" w:eastAsia="Arial" w:hAnsi="Arial"/>
          <w:color w:val="002060"/>
          <w:sz w:val="20"/>
          <w:szCs w:val="20"/>
          <w:rtl w:val="0"/>
        </w:rPr>
        <w:t xml:space="preserve">збереження, захисту інформації та повноти, актуальності і своєчасності інформаційного обміну;</w:t>
      </w:r>
    </w:p>
    <w:bookmarkStart w:colFirst="0" w:colLast="0" w:name="2jxsxqh" w:id="13"/>
    <w:bookmarkEnd w:id="13"/>
    <w:p w:rsidR="00000000" w:rsidDel="00000000" w:rsidP="00000000" w:rsidRDefault="00000000" w:rsidRPr="00000000" w14:paraId="00000058">
      <w:pPr>
        <w:numPr>
          <w:ilvl w:val="0"/>
          <w:numId w:val="14"/>
        </w:numPr>
        <w:spacing w:after="120" w:before="120" w:line="360" w:lineRule="auto"/>
        <w:ind w:left="0" w:firstLine="0"/>
        <w:jc w:val="both"/>
        <w:rPr>
          <w:color w:val="002060"/>
          <w:sz w:val="20"/>
          <w:szCs w:val="20"/>
        </w:rPr>
      </w:pPr>
      <w:r w:rsidDel="00000000" w:rsidR="00000000" w:rsidRPr="00000000">
        <w:rPr>
          <w:rFonts w:ascii="Arial" w:cs="Arial" w:eastAsia="Arial" w:hAnsi="Arial"/>
          <w:color w:val="002060"/>
          <w:sz w:val="20"/>
          <w:szCs w:val="20"/>
          <w:rtl w:val="0"/>
        </w:rPr>
        <w:t xml:space="preserve">доступності учасникам внутрішньобанківської системи інформації, необхідної для проведення фінансового моніторингу;</w:t>
      </w:r>
    </w:p>
    <w:bookmarkStart w:colFirst="0" w:colLast="0" w:name="z337ya" w:id="14"/>
    <w:bookmarkEnd w:id="14"/>
    <w:p w:rsidR="00000000" w:rsidDel="00000000" w:rsidP="00000000" w:rsidRDefault="00000000" w:rsidRPr="00000000" w14:paraId="00000059">
      <w:pPr>
        <w:numPr>
          <w:ilvl w:val="0"/>
          <w:numId w:val="14"/>
        </w:numPr>
        <w:spacing w:after="120" w:before="120" w:line="360" w:lineRule="auto"/>
        <w:ind w:left="0" w:firstLine="0"/>
        <w:jc w:val="both"/>
        <w:rPr>
          <w:color w:val="002060"/>
          <w:sz w:val="20"/>
          <w:szCs w:val="20"/>
        </w:rPr>
      </w:pPr>
      <w:r w:rsidDel="00000000" w:rsidR="00000000" w:rsidRPr="00000000">
        <w:rPr>
          <w:rFonts w:ascii="Arial" w:cs="Arial" w:eastAsia="Arial" w:hAnsi="Arial"/>
          <w:color w:val="002060"/>
          <w:sz w:val="20"/>
          <w:szCs w:val="20"/>
          <w:rtl w:val="0"/>
        </w:rPr>
        <w:t xml:space="preserve">звільнення від відповідальності за надання інформації з обмеженим доступом відповідно до вимог Закону про ПВК/ФТ;</w:t>
      </w:r>
    </w:p>
    <w:bookmarkStart w:colFirst="0" w:colLast="0" w:name="3j2qqm3" w:id="15"/>
    <w:bookmarkEnd w:id="15"/>
    <w:p w:rsidR="00000000" w:rsidDel="00000000" w:rsidP="00000000" w:rsidRDefault="00000000" w:rsidRPr="00000000" w14:paraId="0000005A">
      <w:pPr>
        <w:numPr>
          <w:ilvl w:val="0"/>
          <w:numId w:val="14"/>
        </w:numPr>
        <w:spacing w:after="120" w:before="120" w:line="360" w:lineRule="auto"/>
        <w:ind w:left="0" w:firstLine="0"/>
        <w:jc w:val="both"/>
        <w:rPr>
          <w:color w:val="002060"/>
          <w:sz w:val="20"/>
          <w:szCs w:val="20"/>
        </w:rPr>
      </w:pPr>
      <w:r w:rsidDel="00000000" w:rsidR="00000000" w:rsidRPr="00000000">
        <w:rPr>
          <w:rFonts w:ascii="Arial" w:cs="Arial" w:eastAsia="Arial" w:hAnsi="Arial"/>
          <w:color w:val="002060"/>
          <w:sz w:val="20"/>
          <w:szCs w:val="20"/>
          <w:rtl w:val="0"/>
        </w:rPr>
        <w:t xml:space="preserve">співробітництва та взаємодії у сфері запобігання та протидії з компетентними органами, діяльність яких спрямована на забезпечення співробітництва у зазначеній сфері відповідно до законодавства України.</w:t>
      </w:r>
    </w:p>
    <w:p w:rsidR="00000000" w:rsidDel="00000000" w:rsidP="00000000" w:rsidRDefault="00000000" w:rsidRPr="00000000" w14:paraId="0000005B">
      <w:pPr>
        <w:spacing w:after="120" w:before="120" w:line="360" w:lineRule="auto"/>
        <w:jc w:val="both"/>
        <w:rPr>
          <w:rFonts w:ascii="Arial" w:cs="Arial" w:eastAsia="Arial" w:hAnsi="Arial"/>
          <w:color w:val="002060"/>
          <w:sz w:val="20"/>
          <w:szCs w:val="20"/>
        </w:rPr>
      </w:pPr>
      <w:bookmarkStart w:colFirst="0" w:colLast="0" w:name="_1y810tw" w:id="16"/>
      <w:bookmarkEnd w:id="16"/>
      <w:r w:rsidDel="00000000" w:rsidR="00000000" w:rsidRPr="00000000">
        <w:rPr>
          <w:rFonts w:ascii="Arial" w:cs="Arial" w:eastAsia="Arial" w:hAnsi="Arial"/>
          <w:color w:val="002060"/>
          <w:sz w:val="20"/>
          <w:szCs w:val="20"/>
          <w:rtl w:val="0"/>
        </w:rPr>
        <w:t xml:space="preserve">Політика з ПВК/ФТ визначає загальні принципи Банку з дотримання вимог законодавства України з питань запобігання та протидії легалізації (відмивання) доходів, одержаних злочинним шляхом, фінансуванню тероризму та фінансуванню розповсюдження зброї масового знищення і не є документом з обмеженим доступом. </w:t>
      </w:r>
    </w:p>
    <w:p w:rsidR="00000000" w:rsidDel="00000000" w:rsidP="00000000" w:rsidRDefault="00000000" w:rsidRPr="00000000" w14:paraId="0000005C">
      <w:pPr>
        <w:pStyle w:val="Heading1"/>
        <w:numPr>
          <w:ilvl w:val="0"/>
          <w:numId w:val="5"/>
        </w:numPr>
        <w:spacing w:after="120" w:before="120" w:line="360" w:lineRule="auto"/>
        <w:ind w:left="360" w:hanging="360"/>
        <w:rPr>
          <w:rFonts w:ascii="Arial" w:cs="Arial" w:eastAsia="Arial" w:hAnsi="Arial"/>
          <w:b w:val="1"/>
          <w:color w:val="002060"/>
          <w:sz w:val="20"/>
          <w:szCs w:val="20"/>
        </w:rPr>
      </w:pPr>
      <w:bookmarkStart w:colFirst="0" w:colLast="0" w:name="_1fob9te" w:id="17"/>
      <w:bookmarkEnd w:id="17"/>
      <w:r w:rsidDel="00000000" w:rsidR="00000000" w:rsidRPr="00000000">
        <w:rPr>
          <w:rFonts w:ascii="Arial" w:cs="Arial" w:eastAsia="Arial" w:hAnsi="Arial"/>
          <w:b w:val="1"/>
          <w:color w:val="002060"/>
          <w:sz w:val="20"/>
          <w:szCs w:val="20"/>
          <w:rtl w:val="0"/>
        </w:rPr>
        <w:t xml:space="preserve">ОРГАНІЗАЦІЙНА СТРУКТУРА ВНУТРІШНЬОБАНКІВСЬКОЇ СИСТЕМИ ПВК/ФТ</w:t>
      </w:r>
    </w:p>
    <w:p w:rsidR="00000000" w:rsidDel="00000000" w:rsidP="00000000" w:rsidRDefault="00000000" w:rsidRPr="00000000" w14:paraId="0000005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360" w:lineRule="auto"/>
        <w:ind w:left="792" w:right="0" w:hanging="432"/>
        <w:jc w:val="both"/>
        <w:rPr>
          <w:rFonts w:ascii="Arial" w:cs="Arial" w:eastAsia="Arial" w:hAnsi="Arial"/>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Належна організація внутрішньобанківської системи ПВК/ФТ</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Arial" w:cs="Arial" w:eastAsia="Arial" w:hAnsi="Arial"/>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Банк є суб’єктом первинного фінансового моніторингу загальнодержавної системи фінансового моніторингу та здійснює відповідні заходи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Метою створення, належної організації внутрішньобанківської системи ПВК/ФТ та проведення первинного фінансового моніторингу Банку є:</w:t>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pacing w:after="120" w:before="120" w:line="360" w:lineRule="auto"/>
        <w:ind w:left="0" w:firstLine="0"/>
        <w:jc w:val="both"/>
        <w:rPr>
          <w:color w:val="002060"/>
          <w:sz w:val="20"/>
          <w:szCs w:val="20"/>
        </w:rPr>
      </w:pPr>
      <w:r w:rsidDel="00000000" w:rsidR="00000000" w:rsidRPr="00000000">
        <w:rPr>
          <w:rFonts w:ascii="Arial" w:cs="Arial" w:eastAsia="Arial" w:hAnsi="Arial"/>
          <w:color w:val="002060"/>
          <w:sz w:val="20"/>
          <w:szCs w:val="20"/>
          <w:rtl w:val="0"/>
        </w:rPr>
        <w:t xml:space="preserve">виконання вимог законодавства України у сфері ПВК/ФТ;</w:t>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spacing w:after="120" w:before="120" w:line="360" w:lineRule="auto"/>
        <w:ind w:left="0" w:firstLine="0"/>
        <w:jc w:val="both"/>
        <w:rPr>
          <w:color w:val="002060"/>
          <w:sz w:val="20"/>
          <w:szCs w:val="20"/>
        </w:rPr>
      </w:pPr>
      <w:r w:rsidDel="00000000" w:rsidR="00000000" w:rsidRPr="00000000">
        <w:rPr>
          <w:rFonts w:ascii="Arial" w:cs="Arial" w:eastAsia="Arial" w:hAnsi="Arial"/>
          <w:color w:val="002060"/>
          <w:sz w:val="20"/>
          <w:szCs w:val="20"/>
          <w:rtl w:val="0"/>
        </w:rPr>
        <w:t xml:space="preserve">можливість належним чином виявляти порогові та підозрілі фінансові операції (діяльність) та повідомляти про них СУО;</w:t>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spacing w:after="120" w:before="120" w:line="360" w:lineRule="auto"/>
        <w:ind w:left="0" w:firstLine="0"/>
        <w:jc w:val="both"/>
        <w:rPr>
          <w:color w:val="002060"/>
          <w:sz w:val="20"/>
          <w:szCs w:val="20"/>
        </w:rPr>
      </w:pPr>
      <w:r w:rsidDel="00000000" w:rsidR="00000000" w:rsidRPr="00000000">
        <w:rPr>
          <w:rFonts w:ascii="Arial" w:cs="Arial" w:eastAsia="Arial" w:hAnsi="Arial"/>
          <w:color w:val="002060"/>
          <w:sz w:val="20"/>
          <w:szCs w:val="20"/>
          <w:rtl w:val="0"/>
        </w:rPr>
        <w:t xml:space="preserve">запобігання використанню послуг та продуктів Банку для проведення клієнтами фінансових операцій з метою ВК/ФТ.</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before="120" w:line="360" w:lineRule="auto"/>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Суб'єктами внутрішньобанківської системи </w:t>
      </w:r>
      <w:r w:rsidDel="00000000" w:rsidR="00000000" w:rsidRPr="00000000">
        <w:rPr>
          <w:rFonts w:ascii="Arial" w:cs="Arial" w:eastAsia="Arial" w:hAnsi="Arial"/>
          <w:b w:val="1"/>
          <w:color w:val="002060"/>
          <w:sz w:val="20"/>
          <w:szCs w:val="20"/>
          <w:rtl w:val="0"/>
        </w:rPr>
        <w:t xml:space="preserve">ПВК/ФТ</w:t>
      </w:r>
      <w:r w:rsidDel="00000000" w:rsidR="00000000" w:rsidRPr="00000000">
        <w:rPr>
          <w:rFonts w:ascii="Arial" w:cs="Arial" w:eastAsia="Arial" w:hAnsi="Arial"/>
          <w:color w:val="002060"/>
          <w:sz w:val="20"/>
          <w:szCs w:val="20"/>
          <w:rtl w:val="0"/>
        </w:rPr>
        <w:t xml:space="preserve"> є:</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after="120" w:before="120" w:line="360" w:lineRule="auto"/>
        <w:ind w:left="0" w:firstLine="0"/>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Наглядова Рада Банку; </w:t>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spacing w:after="120" w:before="120" w:line="360" w:lineRule="auto"/>
        <w:ind w:left="0" w:firstLine="0"/>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Правління Банку;</w:t>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after="120" w:before="120" w:line="360" w:lineRule="auto"/>
        <w:ind w:left="0" w:firstLine="0"/>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Департамент внутрішнього аудиту;</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120" w:before="120" w:line="360" w:lineRule="auto"/>
        <w:ind w:left="0" w:firstLine="0"/>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Управління фінансового моніторингу;</w:t>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after="120" w:before="120" w:line="360" w:lineRule="auto"/>
        <w:ind w:left="0" w:firstLine="0"/>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Підрозділи Банку, що проводять/забезпечують проведення операцій або надання 5.4. Відділ депозитарної діяльності</w:t>
      </w:r>
    </w:p>
    <w:p w:rsidR="00000000" w:rsidDel="00000000" w:rsidP="00000000" w:rsidRDefault="00000000" w:rsidRPr="00000000" w14:paraId="0000006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360" w:lineRule="auto"/>
        <w:ind w:left="792" w:right="0" w:hanging="432"/>
        <w:jc w:val="both"/>
        <w:rPr>
          <w:rFonts w:ascii="Arial" w:cs="Arial" w:eastAsia="Arial" w:hAnsi="Arial"/>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Побудова трьох ліній захисту в сфері ПВК/ФТ та розподіл обов’язків та відповідальності між працівниками Банку</w:t>
      </w:r>
      <w:r w:rsidDel="00000000" w:rsidR="00000000" w:rsidRPr="00000000">
        <w:rPr>
          <w:rFonts w:ascii="Arial" w:cs="Arial" w:eastAsia="Arial" w:hAnsi="Arial"/>
          <w:b w:val="1"/>
          <w:i w:val="0"/>
          <w:smallCaps w:val="0"/>
          <w:strike w:val="0"/>
          <w:color w:val="002060"/>
          <w:sz w:val="20"/>
          <w:szCs w:val="20"/>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В Банку створена внутрішньобанківська система ПВК/ФТ, яка базується на розподілі обов'язків між суб'єктами системи із застосуванням моделі трьох ліній захисту: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3.2.       Побудова трьох ліній захисту в сфері ПВК/ФТ та розподіл обов’язків та відповідальності між працівниками Банку</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В Банку створена внутрішньобанківська система ПВК/ФТ, яка базується на розподілі обов'язків між суб'єктами системи із застосуванням моделі трьох ліній захисту: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1)         перша лінія захисту – на рівні підрозділів Банку, що проводять та/або забезпечують проведення операцій або надання послуг Клієнтам Банку. Працівники підрозділів Банку (далі - відповідальні виконавці) несуть відповідальність за невиконання обов’язків та/або бездіяльність у сфері ПВК/ФТ відповідно до їх службових обов'язків та/або розпоряджень керівництва Банку.</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2)         друга лінія захисту - на рівні Управління фінансового моніторингу, Відповідального працівника Банку, забезпечує організацію системи внутрішньобанківської системи ПВК/ФТ та проведення Банком первинного фінансового моніторингу, відповідно до вимог законодавства з ПВК/ФТ та внутрішніх документів Банку з питань фінансового моніторингу.</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3)         третя лінія захисту - на рівні Департаменту внутрішнього аудиту Банку, забезпечує перевірку та оцінку ефективності функціонування внутрішньобанківської системи ПВК/ФТ і перевірку та оцінку проведення Банком первинного фінансового моніторингу.</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Кожна лінія захисту Банку з метою належної організації внутрішньобанківської системи ПВК/ФТ та проведення первинного фінансового моніторингу згідно з визначеними повноваженнями вживає відповідні заходи.</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20" w:line="360" w:lineRule="auto"/>
        <w:ind w:left="360" w:firstLine="0"/>
        <w:jc w:val="both"/>
        <w:rPr>
          <w:rFonts w:ascii="Arial" w:cs="Arial" w:eastAsia="Arial" w:hAnsi="Arial"/>
          <w:b w:val="1"/>
          <w:color w:val="002060"/>
          <w:sz w:val="20"/>
          <w:szCs w:val="20"/>
        </w:rPr>
      </w:pPr>
      <w:r w:rsidDel="00000000" w:rsidR="00000000" w:rsidRPr="00000000">
        <w:rPr>
          <w:rFonts w:ascii="Arial" w:cs="Arial" w:eastAsia="Arial" w:hAnsi="Arial"/>
          <w:b w:val="1"/>
          <w:color w:val="002060"/>
          <w:sz w:val="20"/>
          <w:szCs w:val="20"/>
          <w:rtl w:val="0"/>
        </w:rPr>
        <w:t xml:space="preserve">3.8.Забезпечення ефективності внутрішньобанківської системи фінансового моніторингу та відповідальність</w:t>
      </w:r>
      <w:r w:rsidDel="00000000" w:rsidR="00000000" w:rsidRPr="00000000">
        <w:rPr>
          <w:rFonts w:ascii="Arial" w:cs="Arial" w:eastAsia="Arial" w:hAnsi="Arial"/>
          <w:color w:val="002060"/>
          <w:sz w:val="20"/>
          <w:szCs w:val="20"/>
          <w:rtl w:val="0"/>
        </w:rPr>
        <w:t xml:space="preserve"> </w:t>
      </w:r>
      <w:r w:rsidDel="00000000" w:rsidR="00000000" w:rsidRPr="00000000">
        <w:rPr>
          <w:rFonts w:ascii="Arial" w:cs="Arial" w:eastAsia="Arial" w:hAnsi="Arial"/>
          <w:b w:val="1"/>
          <w:color w:val="002060"/>
          <w:sz w:val="20"/>
          <w:szCs w:val="20"/>
          <w:rtl w:val="0"/>
        </w:rPr>
        <w:t xml:space="preserve">за її неналежну організацію.</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Банк, для досягнення ефективності внутрішньобанківської системи фінансового моніторингу забезпечує виконання наступних основних заходів: </w:t>
      </w:r>
    </w:p>
    <w:p w:rsidR="00000000" w:rsidDel="00000000" w:rsidP="00000000" w:rsidRDefault="00000000" w:rsidRPr="00000000" w14:paraId="0000007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вживає відповідно до законодавства заходів для забезпечення проходження Відповідальним працівником навчання у сфері ПВК/ФТ протягом трьох місяців з дня його призначення, а також підвищення кваліфікації Відповідального працівника шляхом проходження навчання не менше одного разу на три роки на базі відповідного навчального закладу, що належить до сфери управління СУО, та в інших навчальних закладах за погодженням із СУО;</w:t>
      </w:r>
    </w:p>
    <w:p w:rsidR="00000000" w:rsidDel="00000000" w:rsidP="00000000" w:rsidRDefault="00000000" w:rsidRPr="00000000" w14:paraId="0000007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виконує вчинені на підставі, у межах повноважень та у спосіб, передбачені законодавством, вимоги Національного банку щодо виконання (усунення порушень) вимог законодавства у сфері запобігання та протидії;</w:t>
      </w:r>
    </w:p>
    <w:p w:rsidR="00000000" w:rsidDel="00000000" w:rsidP="00000000" w:rsidRDefault="00000000" w:rsidRPr="00000000" w14:paraId="0000007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встановлює для працівників процедури повідомлення Голови Правління та/або Відповідального працівника про порушення вимог законодавства у сфері ПВК/ФТ, у тому числі без зазначення авторства (анонімно), із забезпеченням відповідних засобів;</w:t>
      </w:r>
    </w:p>
    <w:p w:rsidR="00000000" w:rsidDel="00000000" w:rsidP="00000000" w:rsidRDefault="00000000" w:rsidRPr="00000000" w14:paraId="0000007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забезпечує захист працівників у зв’язку з повідомленням ними Голови Правління та/або Відповідального працівника, Національного банку про порушення вимог законодавства у сфері ПВК/ФТ;</w:t>
      </w:r>
    </w:p>
    <w:p w:rsidR="00000000" w:rsidDel="00000000" w:rsidP="00000000" w:rsidRDefault="00000000" w:rsidRPr="00000000" w14:paraId="00000077">
      <w:pPr>
        <w:keepNext w:val="0"/>
        <w:keepLines w:val="0"/>
        <w:pageBreakBefore w:val="0"/>
        <w:widowControl w:val="1"/>
        <w:numPr>
          <w:ilvl w:val="1"/>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120" w:line="360" w:lineRule="auto"/>
        <w:ind w:left="1440" w:right="0" w:hanging="360"/>
        <w:jc w:val="both"/>
        <w:rPr>
          <w:b w:val="0"/>
          <w:i w:val="0"/>
          <w:smallCaps w:val="0"/>
          <w:strike w:val="0"/>
          <w:color w:val="002060"/>
          <w:sz w:val="20"/>
          <w:szCs w:val="20"/>
          <w:highlight w:val="white"/>
          <w:u w:val="none"/>
          <w:vertAlign w:val="baseline"/>
        </w:rPr>
      </w:pPr>
      <w:r w:rsidDel="00000000" w:rsidR="00000000" w:rsidRPr="00000000">
        <w:rPr>
          <w:rFonts w:ascii="Arial" w:cs="Arial" w:eastAsia="Arial" w:hAnsi="Arial"/>
          <w:b w:val="0"/>
          <w:i w:val="0"/>
          <w:smallCaps w:val="0"/>
          <w:strike w:val="0"/>
          <w:color w:val="002060"/>
          <w:sz w:val="20"/>
          <w:szCs w:val="20"/>
          <w:highlight w:val="white"/>
          <w:u w:val="none"/>
          <w:vertAlign w:val="baseline"/>
          <w:rtl w:val="0"/>
        </w:rPr>
        <w:t xml:space="preserve">не допускає до: керівництва, членства у Наглядовій Раді, Правлінні Банку або здійснення контролю Банком осіб, призначення відповідального працівника з питань фінансового моніторингу(особи, яка тимчасово виконує повноваження відповідального працівника у разі його відсутності) інших працівників Банку, залучених до проведення фінансового моніторингу,  які мають громадянство (підданство) держави, що здійснює збройну агресію проти України, не погашену або не зняту в установленому законом порядку судимість за корисливі кримінальні правопорушення або тероризм, а також їх співучасників у таких кримінальних правопорушеннях;</w:t>
      </w:r>
    </w:p>
    <w:p w:rsidR="00000000" w:rsidDel="00000000" w:rsidP="00000000" w:rsidRDefault="00000000" w:rsidRPr="00000000" w14:paraId="0000007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не допускає формування статутного капіталу Банку за рахунок коштів, джерела походження яких неможливо підтвердити;</w:t>
      </w:r>
    </w:p>
    <w:p w:rsidR="00000000" w:rsidDel="00000000" w:rsidP="00000000" w:rsidRDefault="00000000" w:rsidRPr="00000000" w14:paraId="0000007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вживає інші визначені заходи у сфері ПВК/ФТ.</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Відповідальність за неналежну організацію та проведення первинного фінансового моніторингу несе Голова Правління Банку, а також Відповідальний працівник.</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Відповідальний працівник у встановленому внутрішніми нормативними документами порядку інформує Голову Правління Банку або особу, що виконує його функції  про заходи ПВК/ФТ.  </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Відповідальний працівник Банку безпосередньо підпорядковується Наглядовій Раді Банку та звітує перед нею.</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before="120" w:line="360" w:lineRule="auto"/>
        <w:jc w:val="both"/>
        <w:rPr>
          <w:rFonts w:ascii="Arial" w:cs="Arial" w:eastAsia="Arial" w:hAnsi="Arial"/>
          <w:color w:val="002060"/>
          <w:sz w:val="20"/>
          <w:szCs w:val="20"/>
        </w:rPr>
      </w:pPr>
      <w:bookmarkStart w:colFirst="0" w:colLast="0" w:name="_4i7ojhp" w:id="18"/>
      <w:bookmarkEnd w:id="18"/>
      <w:r w:rsidDel="00000000" w:rsidR="00000000" w:rsidRPr="00000000">
        <w:rPr>
          <w:rFonts w:ascii="Arial" w:cs="Arial" w:eastAsia="Arial" w:hAnsi="Arial"/>
          <w:color w:val="002060"/>
          <w:sz w:val="20"/>
          <w:szCs w:val="20"/>
          <w:rtl w:val="0"/>
        </w:rPr>
        <w:t xml:space="preserve">Голова Правління Банку, Відповідальний працівник Банку/т.в.о. Відповідального працівника Банку, а також інші працівники, залучені до проведення первинного фінансового моніторингу, у разі порушення законодавства про запобігання та протидію несуть відповідальність згідно із законом.</w:t>
      </w:r>
    </w:p>
    <w:p w:rsidR="00000000" w:rsidDel="00000000" w:rsidP="00000000" w:rsidRDefault="00000000" w:rsidRPr="00000000" w14:paraId="0000007E">
      <w:pPr>
        <w:pStyle w:val="Heading1"/>
        <w:numPr>
          <w:ilvl w:val="0"/>
          <w:numId w:val="9"/>
        </w:numPr>
        <w:spacing w:after="120" w:before="120" w:line="360" w:lineRule="auto"/>
        <w:ind w:left="420" w:hanging="420"/>
        <w:rPr>
          <w:rFonts w:ascii="Arial" w:cs="Arial" w:eastAsia="Arial" w:hAnsi="Arial"/>
          <w:b w:val="1"/>
          <w:color w:val="002060"/>
          <w:sz w:val="20"/>
          <w:szCs w:val="20"/>
        </w:rPr>
      </w:pPr>
      <w:bookmarkStart w:colFirst="0" w:colLast="0" w:name="_3znysh7" w:id="19"/>
      <w:bookmarkEnd w:id="19"/>
      <w:r w:rsidDel="00000000" w:rsidR="00000000" w:rsidRPr="00000000">
        <w:rPr>
          <w:rFonts w:ascii="Arial" w:cs="Arial" w:eastAsia="Arial" w:hAnsi="Arial"/>
          <w:b w:val="1"/>
          <w:color w:val="002060"/>
          <w:sz w:val="20"/>
          <w:szCs w:val="20"/>
          <w:rtl w:val="0"/>
        </w:rPr>
        <w:t xml:space="preserve">ВИЗНАЧЕННЯ РИЗИК-АПЕТИТУ БАНКУ У СФЕРІ ПВК/ФТ</w:t>
      </w:r>
    </w:p>
    <w:p w:rsidR="00000000" w:rsidDel="00000000" w:rsidP="00000000" w:rsidRDefault="00000000" w:rsidRPr="00000000" w14:paraId="0000007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120" w:line="360" w:lineRule="auto"/>
        <w:ind w:left="792" w:right="0" w:hanging="432"/>
        <w:jc w:val="both"/>
        <w:rPr>
          <w:rFonts w:ascii="Arial" w:cs="Arial" w:eastAsia="Arial" w:hAnsi="Arial"/>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Належна система управління ризиками</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Банк у своїй діяльності застосовує ризик орієнтований підхід, який є пропорційним характеру та масштабу діяльності Банку.</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Ризик-орієнтований підхід застосовується Банком на безперервній основі та забезпечує виявлення, ідентифікацію, оцінку всіх наявних та потенційних ризиків ВК/ФТ, притаманних діяльності Банку (ризик-профілю Банку) та його Клієнтам, а також передбачає своєчасне розроблення заходів з управління ризиками ВК/ФТ, їх мінімізації.</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Ризик-орієнтований підхід ґрунтується на двоетапній оцінці ризиків та включає в себе: </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1) оцінку ризик-профілю Банку:</w:t>
      </w:r>
    </w:p>
    <w:p w:rsidR="00000000" w:rsidDel="00000000" w:rsidP="00000000" w:rsidRDefault="00000000" w:rsidRPr="00000000" w14:paraId="000000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виявлення та оцінку ризиків ВК/ФТ, притаманних діяльності Банку;</w:t>
      </w:r>
    </w:p>
    <w:p w:rsidR="00000000" w:rsidDel="00000000" w:rsidP="00000000" w:rsidRDefault="00000000" w:rsidRPr="00000000" w14:paraId="000000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аналіз наявних заходів з управління ризиками ВК/ФТ для їх зниження (мінімізації);</w:t>
      </w:r>
    </w:p>
    <w:p w:rsidR="00000000" w:rsidDel="00000000" w:rsidP="00000000" w:rsidRDefault="00000000" w:rsidRPr="00000000" w14:paraId="000000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визначення ризик-апетиту Банку у сфері ПВК/ФТ (прийнятного для Банку рівня ризику ВК/ФТ);</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2) оцінку ризик-профілю Клієнта: </w:t>
      </w:r>
    </w:p>
    <w:p w:rsidR="00000000" w:rsidDel="00000000" w:rsidP="00000000" w:rsidRDefault="00000000" w:rsidRPr="00000000" w14:paraId="0000008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виявлення та оцінку первинного ризику ділових відносин (фінансової операції без встановлення ділових відносин) з Клієнтом;</w:t>
      </w:r>
    </w:p>
    <w:p w:rsidR="00000000" w:rsidDel="00000000" w:rsidP="00000000" w:rsidRDefault="00000000" w:rsidRPr="00000000" w14:paraId="0000008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аналіз наявних заходів з управління ризиками ВК/ФТ для їх зниження (мінімізації) до прийнятного для Банку рівня ризику ВК/ФТ (в межах ризик апетиту Банку у сфері ПВК/ФТ);</w:t>
      </w:r>
    </w:p>
    <w:p w:rsidR="00000000" w:rsidDel="00000000" w:rsidP="00000000" w:rsidRDefault="00000000" w:rsidRPr="00000000" w14:paraId="0000008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оцінку залишкового ризику ділових відносин (фінансової операції без встановлення ділових відносин) з Клієнтом.</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Банк на основі оцінки ризиків ВК/ФТ, притаманних його діяльності, визначає свій ризик-апетит (рівень прийнятного рівня ризику) у сфері ПВК/ФТ, ураховуючи:</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1) ризики, які Банк готовий прийняти; </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2) ризики, які Банк може прийняти, але лише після вжиття заходів з управління такими ризиками (їх мінімізації);</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3) ризики, які є неприйнятними для Банку.</w:t>
      </w:r>
    </w:p>
    <w:p w:rsidR="00000000" w:rsidDel="00000000" w:rsidP="00000000" w:rsidRDefault="00000000" w:rsidRPr="00000000" w14:paraId="0000008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120" w:line="360" w:lineRule="auto"/>
        <w:ind w:left="792" w:right="0" w:hanging="432"/>
        <w:jc w:val="both"/>
        <w:rPr>
          <w:rFonts w:ascii="Arial" w:cs="Arial" w:eastAsia="Arial" w:hAnsi="Arial"/>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Вимоги до система управління ризиками ВК/ФТ Банку</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Arial" w:cs="Arial" w:eastAsia="Arial" w:hAnsi="Arial"/>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Система управління ризиками ВК/ФТ Банку вважається неналежною у разі встановлення хоча б однієї з ознак та фактів багаторазового, у великих обсягах проведення фінансових операцій, щодо яких є підозри у використанні Банку для ВК/ФТ чи вчинення іншого злочину, що стали наслідком невиконання заходів ПВК/ФТ.</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Arial" w:cs="Arial" w:eastAsia="Arial" w:hAnsi="Arial"/>
          <w:b w:val="1"/>
          <w:i w:val="0"/>
          <w:smallCaps w:val="0"/>
          <w:strike w:val="0"/>
          <w:color w:val="002060"/>
          <w:sz w:val="20"/>
          <w:szCs w:val="20"/>
          <w:u w:val="single"/>
          <w:shd w:fill="auto" w:val="clear"/>
          <w:vertAlign w:val="baseline"/>
        </w:rPr>
      </w:pPr>
      <w:r w:rsidDel="00000000" w:rsidR="00000000" w:rsidRPr="00000000">
        <w:rPr>
          <w:rFonts w:ascii="Arial" w:cs="Arial" w:eastAsia="Arial" w:hAnsi="Arial"/>
          <w:b w:val="1"/>
          <w:i w:val="0"/>
          <w:smallCaps w:val="0"/>
          <w:strike w:val="0"/>
          <w:color w:val="002060"/>
          <w:sz w:val="20"/>
          <w:szCs w:val="20"/>
          <w:u w:val="single"/>
          <w:shd w:fill="auto" w:val="clear"/>
          <w:vertAlign w:val="baseline"/>
          <w:rtl w:val="0"/>
        </w:rPr>
        <w:t xml:space="preserve">Ознаки неналежної системи управління ризиками:</w:t>
      </w:r>
    </w:p>
    <w:p w:rsidR="00000000" w:rsidDel="00000000" w:rsidP="00000000" w:rsidRDefault="00000000" w:rsidRPr="00000000" w14:paraId="00000092">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1) неналежне здійснення комплексної оцінки/переоцінки ризиків ВК/ФТ Банку, включно з притаманними його діяльності (ризик-профілю Банку), документування їх результатів, заходів із моніторингу, контролю ризиків та підтримання ризик-профілю Банку в актуальному стані для мінімізації використання послуг Банку з метою ВК/ФТ;</w:t>
      </w:r>
    </w:p>
    <w:p w:rsidR="00000000" w:rsidDel="00000000" w:rsidP="00000000" w:rsidRDefault="00000000" w:rsidRPr="00000000" w14:paraId="00000093">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2) нездійснення НПК, неналежне здійснення оцінки/переоцінки ризику ділових відносин (фінансових операцій без установлення ділових відносин) із Клієнтами (ризик-профілів Клієнтів), документування їх результатів, заходів із моніторингу, контролю ризиків та підтримання ризик-профілів Клієнтів Банку в актуальному стані для мінімізації використання послуг Банку з метою ВК/ФТ;</w:t>
      </w:r>
    </w:p>
    <w:p w:rsidR="00000000" w:rsidDel="00000000" w:rsidP="00000000" w:rsidRDefault="00000000" w:rsidRPr="00000000" w14:paraId="00000094">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3) неналежне застосування ризик-орієнтованого підходу, що полягає в неналежному розумінні Банком ризиків ВК/ФТ, на які наражає його Клієнт, невжиття пропорційних виявленим ризикам ефективних заходів щодо їх мінімізації (СЗНП для Клієнтів із низьким ризиком та ПЗНП для Клієнтів із високим ризиком), відсутність диференційованої (багаторівневої) ризик орієнтованої процедури погодження ділових відносин із Клієнтами;</w:t>
      </w:r>
    </w:p>
    <w:p w:rsidR="00000000" w:rsidDel="00000000" w:rsidP="00000000" w:rsidRDefault="00000000" w:rsidRPr="00000000" w14:paraId="00000095">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4) невжиття своєчасних та адекватних заходів щодо мінімізації виявлених ризиків ВК/ФТ до прийнятного рівня ризиків ВК/ФТ;</w:t>
      </w:r>
    </w:p>
    <w:p w:rsidR="00000000" w:rsidDel="00000000" w:rsidP="00000000" w:rsidRDefault="00000000" w:rsidRPr="00000000" w14:paraId="00000096">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5) відсутність дієвих інструментів для запобігання/унеможливлення багаторазового, у великих обсягах проведення Клієнтами фінансових операцій (діяльності), щодо яких є підозри у використанні Банку для ВК/ФТ чи вчинення іншого злочину, зокрема моніторингу ділових відносин із Клієнтами та фінансових операцій Клієнтів, що здійснюються у процесі таких ділових відносин;</w:t>
      </w:r>
    </w:p>
    <w:p w:rsidR="00000000" w:rsidDel="00000000" w:rsidP="00000000" w:rsidRDefault="00000000" w:rsidRPr="00000000" w14:paraId="00000097">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6) відсутність ефективного внутрішнього контролю з питань фінансового моніторингу, несвоєчасне виявлення внутрішнім аудитом проблем та недоліків у внутрішньобанківській системі ПВК/ФТ та ознак неналежної системи управління ризиками ВК/ФТ;</w:t>
      </w:r>
    </w:p>
    <w:p w:rsidR="00000000" w:rsidDel="00000000" w:rsidP="00000000" w:rsidRDefault="00000000" w:rsidRPr="00000000" w14:paraId="00000098">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7) відсутність ефективної системи ескалації підозр та проблемних питань у сфері ПВК/ФТ, що унеможливило своєчасний та дієвий порядок їх розгляду, уключно з повідомленням інформації/фактів, що стосуються випадків порушення або можливого порушення законодавства України у сфері ПВК/ФТ;</w:t>
      </w:r>
    </w:p>
    <w:p w:rsidR="00000000" w:rsidDel="00000000" w:rsidP="00000000" w:rsidRDefault="00000000" w:rsidRPr="00000000" w14:paraId="00000099">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8) відсутність належної системи виявлення PEPs, що призвело до невжиття належним чином Банком щодо них додаткових заходів, визначених законодавством України у сфері ПВК/ФТ;</w:t>
      </w:r>
    </w:p>
    <w:p w:rsidR="00000000" w:rsidDel="00000000" w:rsidP="00000000" w:rsidRDefault="00000000" w:rsidRPr="00000000" w14:paraId="0000009A">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9) відсутність належної системи виявлення КБВ Клієнтів; </w:t>
      </w:r>
    </w:p>
    <w:p w:rsidR="00000000" w:rsidDel="00000000" w:rsidP="00000000" w:rsidRDefault="00000000" w:rsidRPr="00000000" w14:paraId="0000009B">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10) незабезпечення Банком належного документування дій працівників Банку та фіксації подій, пов’язаних із виконання Банком функцій СПФМ.</w:t>
      </w:r>
    </w:p>
    <w:p w:rsidR="00000000" w:rsidDel="00000000" w:rsidP="00000000" w:rsidRDefault="00000000" w:rsidRPr="00000000" w14:paraId="0000009C">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11) неналежне забезпечення таємниці фінансового моніторингу та конфіденційності інформації про інформаційний обмін з СУО, у тому числі факт передавання відомостей про фінансову операцію клієнта СУО.</w:t>
      </w:r>
    </w:p>
    <w:p w:rsidR="00000000" w:rsidDel="00000000" w:rsidP="00000000" w:rsidRDefault="00000000" w:rsidRPr="00000000" w14:paraId="0000009D">
      <w:pPr>
        <w:keepNext w:val="0"/>
        <w:keepLines w:val="0"/>
        <w:pageBreakBefore w:val="0"/>
        <w:widowControl w:val="1"/>
        <w:numPr>
          <w:ilvl w:val="1"/>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120" w:line="360" w:lineRule="auto"/>
        <w:ind w:left="792" w:right="0" w:hanging="432"/>
        <w:jc w:val="both"/>
        <w:rPr>
          <w:rFonts w:ascii="Arial" w:cs="Arial" w:eastAsia="Arial" w:hAnsi="Arial"/>
          <w:i w:val="0"/>
          <w:smallCaps w:val="0"/>
          <w:strike w:val="0"/>
          <w:color w:val="002060"/>
          <w:sz w:val="20"/>
          <w:szCs w:val="20"/>
          <w:u w:val="none"/>
          <w:shd w:fill="auto" w:val="clear"/>
          <w:vertAlign w:val="baseline"/>
        </w:rPr>
      </w:pPr>
      <w:bookmarkStart w:colFirst="0" w:colLast="0" w:name="_2et92p0" w:id="20"/>
      <w:bookmarkEnd w:id="20"/>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Основні заборони та обмеження</w:t>
      </w:r>
    </w:p>
    <w:p w:rsidR="00000000" w:rsidDel="00000000" w:rsidP="00000000" w:rsidRDefault="00000000" w:rsidRPr="00000000" w14:paraId="0000009E">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Під час визначення свого ризик-апетиту Банк встановлює наступні заборони/обмеження у своїй діяльності, враховуючи їх неприйнятний для Банку ризик:</w:t>
      </w:r>
    </w:p>
    <w:p w:rsidR="00000000" w:rsidDel="00000000" w:rsidP="00000000" w:rsidRDefault="00000000" w:rsidRPr="00000000" w14:paraId="0000009F">
      <w:pPr>
        <w:keepNext w:val="0"/>
        <w:keepLines w:val="0"/>
        <w:pageBreakBefore w:val="0"/>
        <w:widowControl w:val="1"/>
        <w:numPr>
          <w:ilvl w:val="2"/>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120" w:line="360" w:lineRule="auto"/>
        <w:ind w:left="1224" w:right="0" w:hanging="504.00000000000006"/>
        <w:jc w:val="both"/>
        <w:rPr>
          <w:rFonts w:ascii="Arial" w:cs="Arial" w:eastAsia="Arial" w:hAnsi="Arial"/>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 не відкриває та не веде анонімні (номерні) рахунки;</w:t>
      </w:r>
    </w:p>
    <w:p w:rsidR="00000000" w:rsidDel="00000000" w:rsidP="00000000" w:rsidRDefault="00000000" w:rsidRPr="00000000" w14:paraId="000000A0">
      <w:pPr>
        <w:keepNext w:val="0"/>
        <w:keepLines w:val="0"/>
        <w:pageBreakBefore w:val="0"/>
        <w:widowControl w:val="1"/>
        <w:numPr>
          <w:ilvl w:val="2"/>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224" w:right="0" w:hanging="504.00000000000006"/>
        <w:jc w:val="both"/>
        <w:rPr>
          <w:rFonts w:ascii="Arial" w:cs="Arial" w:eastAsia="Arial" w:hAnsi="Arial"/>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 не встановлює кореспондентські відносини з банками-оболонками, а також з банками та іншими фінансовими установами - нерезидентами, щодо яких відомо, що вони підтримують кореспондентські відносини з банками-оболонками;</w:t>
      </w:r>
    </w:p>
    <w:p w:rsidR="00000000" w:rsidDel="00000000" w:rsidP="00000000" w:rsidRDefault="00000000" w:rsidRPr="00000000" w14:paraId="000000A1">
      <w:pPr>
        <w:keepNext w:val="0"/>
        <w:keepLines w:val="0"/>
        <w:pageBreakBefore w:val="0"/>
        <w:widowControl w:val="1"/>
        <w:numPr>
          <w:ilvl w:val="2"/>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224" w:right="0" w:hanging="504.00000000000006"/>
        <w:jc w:val="both"/>
        <w:rPr>
          <w:rFonts w:ascii="Arial" w:cs="Arial" w:eastAsia="Arial" w:hAnsi="Arial"/>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не використовує інформацію від третьої особи, що утворена і діє відповідно до законодавства держави, що здійснює збройну агресію проти України, та/або держави (юрисдикції), що не виконує або неналежним чином виконує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крім випадків, якщо використання інформації здійснюється в межах групи з дотриманням єдиних правил фінансового моніторингу.</w:t>
      </w:r>
    </w:p>
    <w:p w:rsidR="00000000" w:rsidDel="00000000" w:rsidP="00000000" w:rsidRDefault="00000000" w:rsidRPr="00000000" w14:paraId="000000A2">
      <w:pPr>
        <w:keepNext w:val="0"/>
        <w:keepLines w:val="0"/>
        <w:pageBreakBefore w:val="0"/>
        <w:widowControl w:val="1"/>
        <w:numPr>
          <w:ilvl w:val="2"/>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276" w:right="0" w:hanging="556"/>
        <w:jc w:val="both"/>
        <w:rPr>
          <w:rFonts w:ascii="Arial" w:cs="Arial" w:eastAsia="Arial" w:hAnsi="Arial"/>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не здійснює переказів коштів між тимчасово окупованою територією та іншою територією України</w:t>
      </w:r>
    </w:p>
    <w:p w:rsidR="00000000" w:rsidDel="00000000" w:rsidP="00000000" w:rsidRDefault="00000000" w:rsidRPr="00000000" w14:paraId="000000A3">
      <w:pPr>
        <w:keepNext w:val="0"/>
        <w:keepLines w:val="0"/>
        <w:pageBreakBefore w:val="0"/>
        <w:widowControl w:val="1"/>
        <w:numPr>
          <w:ilvl w:val="2"/>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224" w:right="0" w:hanging="504.00000000000006"/>
        <w:jc w:val="both"/>
        <w:rPr>
          <w:rFonts w:ascii="Arial" w:cs="Arial" w:eastAsia="Arial" w:hAnsi="Arial"/>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 не приймає та не проводить фінансові операції за правочинами, стороною якого є суб'єкт господарювання, місцезнаходженням (місцем проживання) якого є тимчасово окупована територія.</w:t>
      </w:r>
    </w:p>
    <w:p w:rsidR="00000000" w:rsidDel="00000000" w:rsidP="00000000" w:rsidRDefault="00000000" w:rsidRPr="00000000" w14:paraId="000000A4">
      <w:pPr>
        <w:keepNext w:val="0"/>
        <w:keepLines w:val="0"/>
        <w:pageBreakBefore w:val="0"/>
        <w:widowControl w:val="1"/>
        <w:numPr>
          <w:ilvl w:val="2"/>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224" w:right="0" w:hanging="504.00000000000006"/>
        <w:jc w:val="both"/>
        <w:rPr>
          <w:rFonts w:ascii="Arial" w:cs="Arial" w:eastAsia="Arial" w:hAnsi="Arial"/>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 не залучає вкладів (депозитів) та не надає позик (кредитів), виражених у валюті держави-окупанта.</w:t>
      </w:r>
    </w:p>
    <w:p w:rsidR="00000000" w:rsidDel="00000000" w:rsidP="00000000" w:rsidRDefault="00000000" w:rsidRPr="00000000" w14:paraId="000000A5">
      <w:pPr>
        <w:keepNext w:val="0"/>
        <w:keepLines w:val="0"/>
        <w:pageBreakBefore w:val="0"/>
        <w:widowControl w:val="1"/>
        <w:numPr>
          <w:ilvl w:val="2"/>
          <w:numId w:val="10"/>
        </w:numPr>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2127"/>
        </w:tabs>
        <w:spacing w:after="0" w:before="0" w:line="360" w:lineRule="auto"/>
        <w:ind w:left="1224" w:right="0" w:hanging="504.00000000000006"/>
        <w:jc w:val="both"/>
        <w:rPr>
          <w:rFonts w:ascii="Arial" w:cs="Arial" w:eastAsia="Arial" w:hAnsi="Arial"/>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не встановлює ділові відносини та не проводить фінансові операції, не надає послуги прямо або опосередковано з Клієнтами (представниками клієнтів), які є:</w:t>
      </w:r>
    </w:p>
    <w:p w:rsidR="00000000" w:rsidDel="00000000" w:rsidP="00000000" w:rsidRDefault="00000000" w:rsidRPr="00000000" w14:paraId="000000A6">
      <w:pPr>
        <w:keepNext w:val="0"/>
        <w:keepLines w:val="0"/>
        <w:pageBreakBefore w:val="0"/>
        <w:widowControl w:val="1"/>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440" w:right="0" w:hanging="36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казино і букмекерськими конторами, що діють без ліцензії або нагляду, зокрема компанії, що займаються азартними іграми в режимі он-лайн;</w:t>
      </w:r>
    </w:p>
    <w:p w:rsidR="00000000" w:rsidDel="00000000" w:rsidP="00000000" w:rsidRDefault="00000000" w:rsidRPr="00000000" w14:paraId="000000A7">
      <w:pPr>
        <w:keepNext w:val="0"/>
        <w:keepLines w:val="0"/>
        <w:pageBreakBefore w:val="0"/>
        <w:widowControl w:val="1"/>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440" w:right="0" w:hanging="36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які надають фінансові або страхові послуги без відповідної ліцензії чи контролю з боку виконавчо-розпорядчих органів;</w:t>
      </w:r>
    </w:p>
    <w:p w:rsidR="00000000" w:rsidDel="00000000" w:rsidP="00000000" w:rsidRDefault="00000000" w:rsidRPr="00000000" w14:paraId="000000A8">
      <w:pPr>
        <w:keepNext w:val="0"/>
        <w:keepLines w:val="0"/>
        <w:pageBreakBefore w:val="0"/>
        <w:widowControl w:val="1"/>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440" w:right="0" w:hanging="36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особам, що торгують криптовалютами (наприклад Біткоїнами);</w:t>
      </w:r>
    </w:p>
    <w:p w:rsidR="00000000" w:rsidDel="00000000" w:rsidP="00000000" w:rsidRDefault="00000000" w:rsidRPr="00000000" w14:paraId="000000A9">
      <w:pPr>
        <w:keepNext w:val="0"/>
        <w:keepLines w:val="0"/>
        <w:pageBreakBefore w:val="0"/>
        <w:widowControl w:val="1"/>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440" w:right="0" w:hanging="36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юридичними особами, фізичними особами - підприємцями та фізичними особами, які провадять незалежну професійну діяльність, місцезнаходженням (місцем проживання) та податкова адреса яких є тимчасово окупована територія. не встановлює ділові відносини (за винятком випадків, передбачених резолюціями Ради Безпеки ООН) та не проводить видаткові фінансові операції, не надає послуги прямо або опосередковано з Клієнтами, які є:</w:t>
      </w:r>
    </w:p>
    <w:p w:rsidR="00000000" w:rsidDel="00000000" w:rsidP="00000000" w:rsidRDefault="00000000" w:rsidRPr="00000000" w14:paraId="000000AA">
      <w:pPr>
        <w:keepNext w:val="0"/>
        <w:keepLines w:val="0"/>
        <w:pageBreakBefore w:val="0"/>
        <w:widowControl w:val="1"/>
        <w:numPr>
          <w:ilvl w:val="0"/>
          <w:numId w:val="19"/>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360" w:lineRule="auto"/>
        <w:ind w:left="1418" w:right="0" w:hanging="284.00000000000006"/>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особами та/або організаціями, яких включено до переліку осіб або щодо яких застосовано міжнародні санкції або санкції уповноважених державних органів України;</w:t>
      </w:r>
    </w:p>
    <w:p w:rsidR="00000000" w:rsidDel="00000000" w:rsidP="00000000" w:rsidRDefault="00000000" w:rsidRPr="00000000" w14:paraId="000000AB">
      <w:pPr>
        <w:keepNext w:val="0"/>
        <w:keepLines w:val="0"/>
        <w:pageBreakBefore w:val="0"/>
        <w:widowControl w:val="1"/>
        <w:numPr>
          <w:ilvl w:val="0"/>
          <w:numId w:val="19"/>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120" w:line="360" w:lineRule="auto"/>
        <w:ind w:left="1418" w:right="0" w:hanging="284.00000000000006"/>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особами та/або організаціями, які діють від імені та за дорученням осіб та/або організацій, яких включено до переліку осіб або щодо яких застосовано міжнародні санкції або санкції уповноважених державних органів України;</w:t>
      </w:r>
    </w:p>
    <w:p w:rsidR="00000000" w:rsidDel="00000000" w:rsidP="00000000" w:rsidRDefault="00000000" w:rsidRPr="00000000" w14:paraId="000000AC">
      <w:pPr>
        <w:keepNext w:val="0"/>
        <w:keepLines w:val="0"/>
        <w:pageBreakBefore w:val="0"/>
        <w:widowControl w:val="1"/>
        <w:numPr>
          <w:ilvl w:val="0"/>
          <w:numId w:val="19"/>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120" w:line="360" w:lineRule="auto"/>
        <w:ind w:left="1418" w:right="0" w:hanging="284.00000000000006"/>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особами та/або організаціями, якими прямо або опосередковано володіють чи кінцевими бенефіціарними власниками яких є особи та/або організації, яких включено до переліку осіб або щодо яких застосовано міжнародні санкції або санкції уповноважених державних органів України, які є резидентами російської федерації та республіки білорусь;</w:t>
      </w:r>
    </w:p>
    <w:p w:rsidR="00000000" w:rsidDel="00000000" w:rsidP="00000000" w:rsidRDefault="00000000" w:rsidRPr="00000000" w14:paraId="000000AD">
      <w:pPr>
        <w:keepNext w:val="0"/>
        <w:keepLines w:val="0"/>
        <w:pageBreakBefore w:val="0"/>
        <w:widowControl w:val="1"/>
        <w:numPr>
          <w:ilvl w:val="0"/>
          <w:numId w:val="19"/>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120" w:line="360" w:lineRule="auto"/>
        <w:ind w:left="1584" w:right="0" w:hanging="36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фізичні/юридичні особи, стосовно яких було визнано, що вони діють від імені суб’єктів, які належать до або щодо яких застосовано міжнародні санкції або санкції уповноважених державних органів України,</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які є резидентами російської федерації та республіки білорусь; з метою обходу санкцій</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або співпраця з якими заборонена обмежена іншими чинними законодавчими актами або розпорядженнями.</w:t>
      </w:r>
    </w:p>
    <w:p w:rsidR="00000000" w:rsidDel="00000000" w:rsidP="00000000" w:rsidRDefault="00000000" w:rsidRPr="00000000" w14:paraId="000000AE">
      <w:pPr>
        <w:keepNext w:val="0"/>
        <w:keepLines w:val="0"/>
        <w:pageBreakBefore w:val="0"/>
        <w:widowControl w:val="1"/>
        <w:numPr>
          <w:ilvl w:val="0"/>
          <w:numId w:val="19"/>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120" w:line="360" w:lineRule="auto"/>
        <w:ind w:left="1584" w:right="0" w:hanging="36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контрагентом фінансової операції або фінансовою установою, яка забезпечує здійснення фінансової операції, є особа, що належить до осіб, зазначених у розділі 4.3, і Банку стало про це відомо під час надання послуги/виконання операції особи, стосовно яких було припинення ділових відносин за ініціативою Банку</w:t>
      </w:r>
    </w:p>
    <w:p w:rsidR="00000000" w:rsidDel="00000000" w:rsidP="00000000" w:rsidRDefault="00000000" w:rsidRPr="00000000" w14:paraId="000000AF">
      <w:pPr>
        <w:keepNext w:val="0"/>
        <w:keepLines w:val="0"/>
        <w:pageBreakBefore w:val="0"/>
        <w:widowControl w:val="1"/>
        <w:numPr>
          <w:ilvl w:val="2"/>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120" w:line="360" w:lineRule="auto"/>
        <w:ind w:left="1224" w:right="0" w:hanging="504.00000000000006"/>
        <w:jc w:val="both"/>
        <w:rPr>
          <w:rFonts w:ascii="Arial" w:cs="Arial" w:eastAsia="Arial" w:hAnsi="Arial"/>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не відкриває рахунки  особам та не здійснює фінансові операції,  якщо хоча б одна із сторін-учасників фінансової операції має реєстрацію, місце проживання чи місцезнаходження </w:t>
      </w:r>
      <w:r w:rsidDel="00000000" w:rsidR="00000000" w:rsidRPr="00000000">
        <w:rPr>
          <w:rFonts w:ascii="Arial" w:cs="Arial" w:eastAsia="Arial" w:hAnsi="Arial"/>
          <w:b w:val="0"/>
          <w:i w:val="0"/>
          <w:smallCaps w:val="0"/>
          <w:strike w:val="0"/>
          <w:color w:val="002060"/>
          <w:sz w:val="20"/>
          <w:szCs w:val="20"/>
          <w:u w:val="single"/>
          <w:shd w:fill="auto" w:val="clear"/>
          <w:vertAlign w:val="baseline"/>
          <w:rtl w:val="0"/>
        </w:rPr>
        <w:t xml:space="preserve">в </w:t>
      </w:r>
      <w:r w:rsidDel="00000000" w:rsidR="00000000" w:rsidRPr="00000000">
        <w:rPr>
          <w:rtl w:val="0"/>
        </w:rPr>
      </w:r>
    </w:p>
    <w:tbl>
      <w:tblPr>
        <w:tblStyle w:val="Table1"/>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7"/>
        <w:gridCol w:w="4819"/>
        <w:tblGridChange w:id="0">
          <w:tblGrid>
            <w:gridCol w:w="4957"/>
            <w:gridCol w:w="4819"/>
          </w:tblGrid>
        </w:tblGridChange>
      </w:tblGrid>
      <w:tr>
        <w:trPr>
          <w:cantSplit w:val="0"/>
          <w:tblHeader w:val="0"/>
        </w:trPr>
        <w:tc>
          <w:tcPr>
            <w:gridSpan w:val="2"/>
          </w:tcPr>
          <w:p w:rsidR="00000000" w:rsidDel="00000000" w:rsidP="00000000" w:rsidRDefault="00000000" w:rsidRPr="00000000" w14:paraId="000000B0">
            <w:pPr>
              <w:spacing w:after="120" w:before="120" w:line="360" w:lineRule="auto"/>
              <w:jc w:val="center"/>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Країна</w:t>
            </w:r>
          </w:p>
          <w:p w:rsidR="00000000" w:rsidDel="00000000" w:rsidP="00000000" w:rsidRDefault="00000000" w:rsidRPr="00000000" w14:paraId="000000B1">
            <w:pPr>
              <w:spacing w:after="120" w:before="120" w:line="360" w:lineRule="auto"/>
              <w:jc w:val="center"/>
              <w:rPr>
                <w:rFonts w:ascii="Arial" w:cs="Arial" w:eastAsia="Arial" w:hAnsi="Arial"/>
                <w:color w:val="00206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3">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Іран (Ісламська Республіка)</w:t>
            </w:r>
          </w:p>
        </w:tc>
        <w:tc>
          <w:tcPr/>
          <w:p w:rsidR="00000000" w:rsidDel="00000000" w:rsidP="00000000" w:rsidRDefault="00000000" w:rsidRPr="00000000" w14:paraId="000000B4">
            <w:pPr>
              <w:spacing w:after="120" w:before="120" w:line="360" w:lineRule="auto"/>
              <w:jc w:val="center"/>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Корейська Народно-Демократична Республіка</w:t>
            </w:r>
          </w:p>
        </w:tc>
      </w:tr>
      <w:tr>
        <w:trPr>
          <w:cantSplit w:val="0"/>
          <w:tblHeader w:val="0"/>
        </w:trPr>
        <w:tc>
          <w:tcPr/>
          <w:p w:rsidR="00000000" w:rsidDel="00000000" w:rsidP="00000000" w:rsidRDefault="00000000" w:rsidRPr="00000000" w14:paraId="000000B5">
            <w:pPr>
              <w:spacing w:after="120" w:before="120" w:line="360" w:lineRule="auto"/>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Сирійська  Арабська Республіка</w:t>
            </w:r>
          </w:p>
        </w:tc>
        <w:tc>
          <w:tcPr/>
          <w:p w:rsidR="00000000" w:rsidDel="00000000" w:rsidP="00000000" w:rsidRDefault="00000000" w:rsidRPr="00000000" w14:paraId="000000B6">
            <w:pPr>
              <w:spacing w:after="120" w:before="120" w:line="360" w:lineRule="auto"/>
              <w:jc w:val="center"/>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Республіка Куба </w:t>
            </w:r>
          </w:p>
        </w:tc>
      </w:tr>
      <w:tr>
        <w:trPr>
          <w:cantSplit w:val="0"/>
          <w:tblHeader w:val="0"/>
        </w:trPr>
        <w:tc>
          <w:tcPr/>
          <w:p w:rsidR="00000000" w:rsidDel="00000000" w:rsidP="00000000" w:rsidRDefault="00000000" w:rsidRPr="00000000" w14:paraId="000000B7">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Судан та Південний Судан</w:t>
            </w:r>
          </w:p>
        </w:tc>
        <w:tc>
          <w:tcPr/>
          <w:p w:rsidR="00000000" w:rsidDel="00000000" w:rsidP="00000000" w:rsidRDefault="00000000" w:rsidRPr="00000000" w14:paraId="000000B8">
            <w:pPr>
              <w:spacing w:after="120" w:before="120" w:line="360" w:lineRule="auto"/>
              <w:jc w:val="center"/>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Північному Кіпрі</w:t>
            </w:r>
          </w:p>
        </w:tc>
      </w:tr>
      <w:tr>
        <w:trPr>
          <w:cantSplit w:val="0"/>
          <w:trHeight w:val="400" w:hRule="atLeast"/>
          <w:tblHeader w:val="0"/>
        </w:trPr>
        <w:tc>
          <w:tcPr/>
          <w:p w:rsidR="00000000" w:rsidDel="00000000" w:rsidP="00000000" w:rsidRDefault="00000000" w:rsidRPr="00000000" w14:paraId="000000B9">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М'янма</w:t>
            </w:r>
          </w:p>
        </w:tc>
        <w:tc>
          <w:tcPr/>
          <w:p w:rsidR="00000000" w:rsidDel="00000000" w:rsidP="00000000" w:rsidRDefault="00000000" w:rsidRPr="00000000" w14:paraId="000000BA">
            <w:pPr>
              <w:spacing w:after="120" w:before="120" w:line="360" w:lineRule="auto"/>
              <w:jc w:val="center"/>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російська федерація (рф</w:t>
            </w:r>
            <w:r w:rsidDel="00000000" w:rsidR="00000000" w:rsidRPr="00000000">
              <w:rPr>
                <w:rtl w:val="0"/>
              </w:rPr>
              <w:t xml:space="preserve">)</w:t>
            </w:r>
            <w:r w:rsidDel="00000000" w:rsidR="00000000" w:rsidRPr="00000000">
              <w:rPr>
                <w:rtl w:val="0"/>
              </w:rPr>
            </w:r>
          </w:p>
        </w:tc>
      </w:tr>
      <w:tr>
        <w:trPr>
          <w:cantSplit w:val="0"/>
          <w:trHeight w:val="656" w:hRule="atLeast"/>
          <w:tblHeader w:val="0"/>
        </w:trPr>
        <w:tc>
          <w:tcPr/>
          <w:p w:rsidR="00000000" w:rsidDel="00000000" w:rsidP="00000000" w:rsidRDefault="00000000" w:rsidRPr="00000000" w14:paraId="000000BB">
            <w:pPr>
              <w:spacing w:after="120" w:before="120" w:line="360" w:lineRule="auto"/>
              <w:rPr>
                <w:rFonts w:ascii="Arial" w:cs="Arial" w:eastAsia="Arial" w:hAnsi="Arial"/>
                <w:color w:val="002060"/>
                <w:sz w:val="20"/>
                <w:szCs w:val="20"/>
              </w:rPr>
            </w:pPr>
            <w:r w:rsidDel="00000000" w:rsidR="00000000" w:rsidRPr="00000000">
              <w:rPr>
                <w:rtl w:val="0"/>
              </w:rPr>
            </w:r>
          </w:p>
        </w:tc>
        <w:tc>
          <w:tcPr/>
          <w:p w:rsidR="00000000" w:rsidDel="00000000" w:rsidP="00000000" w:rsidRDefault="00000000" w:rsidRPr="00000000" w14:paraId="000000BC">
            <w:pPr>
              <w:spacing w:after="120" w:before="120" w:line="360" w:lineRule="auto"/>
              <w:jc w:val="center"/>
              <w:rPr>
                <w:rFonts w:ascii="Arial" w:cs="Arial" w:eastAsia="Arial" w:hAnsi="Arial"/>
                <w:color w:val="002060"/>
                <w:sz w:val="20"/>
                <w:szCs w:val="20"/>
              </w:rPr>
            </w:pPr>
            <w:r w:rsidDel="00000000" w:rsidR="00000000" w:rsidRPr="00000000">
              <w:rPr>
                <w:rtl w:val="0"/>
              </w:rPr>
              <w:t xml:space="preserve"> </w:t>
            </w:r>
            <w:r w:rsidDel="00000000" w:rsidR="00000000" w:rsidRPr="00000000">
              <w:rPr>
                <w:rFonts w:ascii="Arial" w:cs="Arial" w:eastAsia="Arial" w:hAnsi="Arial"/>
                <w:color w:val="002060"/>
                <w:sz w:val="20"/>
                <w:szCs w:val="20"/>
                <w:rtl w:val="0"/>
              </w:rPr>
              <w:t xml:space="preserve">республіка білорусь (рб)</w:t>
            </w:r>
          </w:p>
        </w:tc>
      </w:tr>
    </w:tbl>
    <w:p w:rsidR="00000000" w:rsidDel="00000000" w:rsidP="00000000" w:rsidRDefault="00000000" w:rsidRPr="00000000" w14:paraId="000000BD">
      <w:pPr>
        <w:spacing w:after="120" w:before="120" w:line="360" w:lineRule="auto"/>
        <w:jc w:val="both"/>
        <w:rPr>
          <w:rFonts w:ascii="Arial" w:cs="Arial" w:eastAsia="Arial" w:hAnsi="Arial"/>
          <w:color w:val="002060"/>
          <w:sz w:val="20"/>
          <w:szCs w:val="20"/>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2"/>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120" w:line="360" w:lineRule="auto"/>
        <w:ind w:left="1225" w:right="0" w:hanging="505"/>
        <w:jc w:val="both"/>
        <w:rPr>
          <w:rFonts w:ascii="Arial" w:cs="Arial" w:eastAsia="Arial" w:hAnsi="Arial"/>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відмовляється від встановлення (підтримання) ділових відносин/відмовляє Клієнту у відкритті рахунка (обслуговуванні), у тому числі шляхом розірвання ділових відносин, закриття рахунка/відмовитися від проведення фінансової операції у разі:</w:t>
      </w:r>
    </w:p>
    <w:p w:rsidR="00000000" w:rsidDel="00000000" w:rsidP="00000000" w:rsidRDefault="00000000" w:rsidRPr="00000000" w14:paraId="000000BF">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120" w:line="360" w:lineRule="auto"/>
        <w:ind w:left="1440" w:right="0" w:hanging="36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якщо здійснення ідентифікації та/або верифікації клієнта, а також встановлення даних, що дають змогу встановити кінцевих бенефіціарних власників, є неможливим або якщо у Банку виникає сумнів стосовно того, що особа виступає від власного імені;</w:t>
      </w:r>
    </w:p>
    <w:p w:rsidR="00000000" w:rsidDel="00000000" w:rsidP="00000000" w:rsidRDefault="00000000" w:rsidRPr="00000000" w14:paraId="000000C0">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120" w:line="360" w:lineRule="auto"/>
        <w:ind w:left="1440" w:right="0" w:hanging="36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встановлення Клієнту неприйнятно високого ризику або ненадання Клієнтом необхідних для здійснення належної перевірки Клієнта документів чи відомостей;</w:t>
      </w:r>
    </w:p>
    <w:p w:rsidR="00000000" w:rsidDel="00000000" w:rsidP="00000000" w:rsidRDefault="00000000" w:rsidRPr="00000000" w14:paraId="000000C1">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120" w:line="360" w:lineRule="auto"/>
        <w:ind w:left="1440" w:right="0" w:hanging="36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подання Клієнтом чи його представником Банку недостовірної інформації або подання інформації з метою введення Банку в оману;</w:t>
      </w:r>
    </w:p>
    <w:p w:rsidR="00000000" w:rsidDel="00000000" w:rsidP="00000000" w:rsidRDefault="00000000" w:rsidRPr="00000000" w14:paraId="000000C2">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120" w:line="360" w:lineRule="auto"/>
        <w:ind w:left="1440" w:right="0" w:hanging="36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виявлення, що банк або інша фінансова установа, з якою встановлені кореспондентські відносини, є банком-оболонкою та/або підтримує кореспондентські відносини з банком-оболонкою;</w:t>
      </w:r>
    </w:p>
    <w:p w:rsidR="00000000" w:rsidDel="00000000" w:rsidP="00000000" w:rsidRDefault="00000000" w:rsidRPr="00000000" w14:paraId="000000C3">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120" w:line="360" w:lineRule="auto"/>
        <w:ind w:left="1440" w:right="0" w:hanging="36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якщо здійснення ідентифікації особи, від імені або в інтересах якої проводиться фінансова операція, та встановлення її кінцевого бенефіціарного власника або вигодоодержувача (вигодонабувача) за фінансовою операцією є неможливим;</w:t>
      </w:r>
    </w:p>
    <w:p w:rsidR="00000000" w:rsidDel="00000000" w:rsidP="00000000" w:rsidRDefault="00000000" w:rsidRPr="00000000" w14:paraId="000000C4">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120" w:line="360" w:lineRule="auto"/>
        <w:ind w:left="1440" w:right="0" w:hanging="360"/>
        <w:jc w:val="both"/>
        <w:rPr>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Клієнтам, щодо яких у Банку за результатами вивчення діяльності Клієнта є обґрунтовані підозри про здійснення ними операцій ВК/ФТ, інших злочинів;</w:t>
      </w:r>
    </w:p>
    <w:p w:rsidR="00000000" w:rsidDel="00000000" w:rsidP="00000000" w:rsidRDefault="00000000" w:rsidRPr="00000000" w14:paraId="000000C5">
      <w:pPr>
        <w:keepNext w:val="0"/>
        <w:keepLines w:val="0"/>
        <w:pageBreakBefore w:val="0"/>
        <w:widowControl w:val="1"/>
        <w:numPr>
          <w:ilvl w:val="2"/>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120" w:line="360" w:lineRule="auto"/>
        <w:ind w:left="1225" w:right="0" w:hanging="505"/>
        <w:jc w:val="both"/>
        <w:rPr>
          <w:rFonts w:ascii="Arial" w:cs="Arial" w:eastAsia="Arial" w:hAnsi="Arial"/>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Банк також не встановлює/не підтримує ділові відносини з Клієнтами та не здійснює фінансові операції, особам, визначеним в </w:t>
      </w:r>
      <w:r w:rsidDel="00000000" w:rsidR="00000000" w:rsidRPr="00000000">
        <w:rPr>
          <w:rFonts w:ascii="Arial" w:cs="Arial" w:eastAsia="Arial" w:hAnsi="Arial"/>
          <w:b w:val="1"/>
          <w:i w:val="1"/>
          <w:smallCaps w:val="0"/>
          <w:strike w:val="0"/>
          <w:color w:val="002060"/>
          <w:sz w:val="20"/>
          <w:szCs w:val="20"/>
          <w:u w:val="none"/>
          <w:shd w:fill="auto" w:val="clear"/>
          <w:vertAlign w:val="baseline"/>
          <w:rtl w:val="0"/>
        </w:rPr>
        <w:t xml:space="preserve">Політиці прийнятності клієнта</w:t>
      </w: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що є складовою</w:t>
      </w: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 Комплаєнс-політики (політики дотримання правових норм та стандартів) АТ “ПІРЕУС БАНК МКБ”</w:t>
      </w: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w:t>
      </w:r>
    </w:p>
    <w:p w:rsidR="00000000" w:rsidDel="00000000" w:rsidP="00000000" w:rsidRDefault="00000000" w:rsidRPr="00000000" w14:paraId="000000C6">
      <w:pPr>
        <w:keepNext w:val="0"/>
        <w:keepLines w:val="0"/>
        <w:pageBreakBefore w:val="0"/>
        <w:widowControl w:val="1"/>
        <w:numPr>
          <w:ilvl w:val="2"/>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120" w:line="360" w:lineRule="auto"/>
        <w:ind w:left="1224" w:right="0" w:hanging="504.00000000000006"/>
        <w:jc w:val="both"/>
        <w:rPr>
          <w:rFonts w:ascii="Arial" w:cs="Arial" w:eastAsia="Arial" w:hAnsi="Arial"/>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Банк також припиняє/має право припинити  будь-які відносини, шляхом присвоєння неприйнятно високого ризику  з існуючим Клієнтом, якщо в результаті належної перевірки Клієнта виявлено, що Клієнта підпадає під одну з категорій, що зазначена у цьому розділі (наприклад, у результаті відкликання ліцензії з цінних паперів, надання Банку недостовірної інформації або подання інформації з метою введення Банку в оману, внесення в міжнародні санкції або санкції уповноважених державних органів України, або співпраця з якими заборонена чи обмежена іншими чинними законодавчими актами або розпорядженнями тощо).</w:t>
      </w:r>
    </w:p>
    <w:p w:rsidR="00000000" w:rsidDel="00000000" w:rsidP="00000000" w:rsidRDefault="00000000" w:rsidRPr="00000000" w14:paraId="000000C7">
      <w:pPr>
        <w:keepNext w:val="0"/>
        <w:keepLines w:val="0"/>
        <w:pageBreakBefore w:val="0"/>
        <w:widowControl w:val="1"/>
        <w:numPr>
          <w:ilvl w:val="2"/>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120" w:line="360" w:lineRule="auto"/>
        <w:ind w:left="1225" w:right="0" w:hanging="505"/>
        <w:jc w:val="both"/>
        <w:rPr>
          <w:rFonts w:ascii="Arial" w:cs="Arial" w:eastAsia="Arial" w:hAnsi="Arial"/>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Банк не здійснює переказ коштів у разі відсутності обов’язкової інформації, якою повинна супроводжуватися фінансова операція з переказу коштів.</w:t>
      </w:r>
    </w:p>
    <w:p w:rsidR="00000000" w:rsidDel="00000000" w:rsidP="00000000" w:rsidRDefault="00000000" w:rsidRPr="00000000" w14:paraId="000000C8">
      <w:pPr>
        <w:keepNext w:val="0"/>
        <w:keepLines w:val="0"/>
        <w:pageBreakBefore w:val="0"/>
        <w:widowControl w:val="1"/>
        <w:numPr>
          <w:ilvl w:val="2"/>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120" w:line="360" w:lineRule="auto"/>
        <w:ind w:left="1225" w:right="0" w:hanging="505"/>
        <w:jc w:val="both"/>
        <w:rPr>
          <w:rFonts w:ascii="Arial" w:cs="Arial" w:eastAsia="Arial" w:hAnsi="Arial"/>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фінансування розповсюдження зброї масового знищення або сприяння іншим особам у вчиненні таких дій.</w:t>
      </w:r>
    </w:p>
    <w:p w:rsidR="00000000" w:rsidDel="00000000" w:rsidP="00000000" w:rsidRDefault="00000000" w:rsidRPr="00000000" w14:paraId="000000C9">
      <w:pPr>
        <w:keepNext w:val="0"/>
        <w:keepLines w:val="0"/>
        <w:pageBreakBefore w:val="0"/>
        <w:widowControl w:val="1"/>
        <w:numPr>
          <w:ilvl w:val="2"/>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120" w:line="360" w:lineRule="auto"/>
        <w:ind w:left="1225" w:right="0" w:hanging="505"/>
        <w:jc w:val="both"/>
        <w:rPr>
          <w:rFonts w:ascii="Arial" w:cs="Arial" w:eastAsia="Arial" w:hAnsi="Arial"/>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Застосовуючи ризик-орієнтований підхід, Банк утримується від необґрунтованого застосування де-рискінгу, що протирічить ризик-орієнтованому підходу та не сприяє фінансовій інклюзії.</w:t>
      </w:r>
    </w:p>
    <w:p w:rsidR="00000000" w:rsidDel="00000000" w:rsidP="00000000" w:rsidRDefault="00000000" w:rsidRPr="00000000" w14:paraId="000000CA">
      <w:pPr>
        <w:pStyle w:val="Heading1"/>
        <w:spacing w:after="120" w:before="120" w:line="360" w:lineRule="auto"/>
        <w:rPr>
          <w:rFonts w:ascii="Arial" w:cs="Arial" w:eastAsia="Arial" w:hAnsi="Arial"/>
          <w:b w:val="1"/>
          <w:color w:val="002060"/>
          <w:sz w:val="20"/>
          <w:szCs w:val="20"/>
        </w:rPr>
      </w:pPr>
      <w:r w:rsidDel="00000000" w:rsidR="00000000" w:rsidRPr="00000000">
        <w:rPr>
          <w:rFonts w:ascii="Arial" w:cs="Arial" w:eastAsia="Arial" w:hAnsi="Arial"/>
          <w:b w:val="1"/>
          <w:color w:val="002060"/>
          <w:sz w:val="20"/>
          <w:szCs w:val="20"/>
          <w:rtl w:val="0"/>
        </w:rPr>
        <w:t xml:space="preserve">5.</w:t>
        <w:tab/>
        <w:t xml:space="preserve">ВІДПОВІДАЛЬНІСТЬ</w:t>
      </w:r>
    </w:p>
    <w:p w:rsidR="00000000" w:rsidDel="00000000" w:rsidP="00000000" w:rsidRDefault="00000000" w:rsidRPr="00000000" w14:paraId="000000CB">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Визначений порядок внутрішнього контролю в Банку та визначення працівників Банку, які приймають рішення на різних етапах (видах) контролю відповідно до їхніх функціональних обов'язків, забезпечують принцип "вища посада - більші повноваження та відповідальність".</w:t>
      </w:r>
    </w:p>
    <w:p w:rsidR="00000000" w:rsidDel="00000000" w:rsidP="00000000" w:rsidRDefault="00000000" w:rsidRPr="00000000" w14:paraId="000000CC">
      <w:pPr>
        <w:pStyle w:val="Heading1"/>
        <w:numPr>
          <w:ilvl w:val="0"/>
          <w:numId w:val="16"/>
        </w:numPr>
        <w:spacing w:after="120" w:before="120" w:line="360" w:lineRule="auto"/>
        <w:ind w:left="360" w:hanging="360"/>
        <w:rPr>
          <w:rFonts w:ascii="Arial" w:cs="Arial" w:eastAsia="Arial" w:hAnsi="Arial"/>
          <w:b w:val="1"/>
          <w:color w:val="002060"/>
          <w:sz w:val="20"/>
          <w:szCs w:val="20"/>
        </w:rPr>
      </w:pPr>
      <w:bookmarkStart w:colFirst="0" w:colLast="0" w:name="_tyjcwt" w:id="21"/>
      <w:bookmarkEnd w:id="21"/>
      <w:r w:rsidDel="00000000" w:rsidR="00000000" w:rsidRPr="00000000">
        <w:rPr>
          <w:rFonts w:ascii="Arial" w:cs="Arial" w:eastAsia="Arial" w:hAnsi="Arial"/>
          <w:b w:val="1"/>
          <w:color w:val="002060"/>
          <w:sz w:val="20"/>
          <w:szCs w:val="20"/>
          <w:rtl w:val="0"/>
        </w:rPr>
        <w:t xml:space="preserve">ПРИКІНЦЕВІ ПОЛОЖЕННЯ</w:t>
      </w:r>
    </w:p>
    <w:p w:rsidR="00000000" w:rsidDel="00000000" w:rsidP="00000000" w:rsidRDefault="00000000" w:rsidRPr="00000000" w14:paraId="000000CD">
      <w:pPr>
        <w:tabs>
          <w:tab w:val="left" w:leader="none" w:pos="567"/>
        </w:tabs>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Політика з ПВК/ФТ не є документом із обмеженим доступом. Політика з ПВК/ФТ є безстроковою, вступає в силу після її затвердження Наглядовою радою Банку з дати, наступної за датою прийняття рішення Наглядовою радою Банку, та діє до її скасування або затвердження Наглядовою радою Банку нової Політики з ПВК/ФТ, із вступом в силу якої попередня втрачає силу.</w:t>
      </w:r>
    </w:p>
    <w:p w:rsidR="00000000" w:rsidDel="00000000" w:rsidP="00000000" w:rsidRDefault="00000000" w:rsidRPr="00000000" w14:paraId="000000CE">
      <w:pPr>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Політики з ПВК/ФТ переглядається у разі необхідності. Зміни та/або доповнення до цієї Політики з ПВК/ФТ вносяться шляхом затвердження їх Наглядовою радою Банку у встановленому порядку.</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0" w:right="0" w:firstLine="0"/>
        <w:jc w:val="both"/>
        <w:rPr>
          <w:rFonts w:ascii="Arial" w:cs="Arial" w:eastAsia="Arial" w:hAnsi="Arial"/>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Працівники Банку (залежно від їх посадових обов'язків) ознайомлюються з даною Політикою з ПВК/ФТ під підпис у разі:</w:t>
      </w:r>
    </w:p>
    <w:p w:rsidR="00000000" w:rsidDel="00000000" w:rsidP="00000000" w:rsidRDefault="00000000" w:rsidRPr="00000000" w14:paraId="000000D0">
      <w:pPr>
        <w:numPr>
          <w:ilvl w:val="0"/>
          <w:numId w:val="15"/>
        </w:numPr>
        <w:spacing w:after="0" w:before="120" w:line="360" w:lineRule="auto"/>
        <w:ind w:left="567" w:hanging="567"/>
        <w:jc w:val="both"/>
        <w:rPr>
          <w:color w:val="002060"/>
          <w:sz w:val="20"/>
          <w:szCs w:val="20"/>
        </w:rPr>
      </w:pPr>
      <w:r w:rsidDel="00000000" w:rsidR="00000000" w:rsidRPr="00000000">
        <w:rPr>
          <w:rFonts w:ascii="Arial" w:cs="Arial" w:eastAsia="Arial" w:hAnsi="Arial"/>
          <w:color w:val="002060"/>
          <w:sz w:val="20"/>
          <w:szCs w:val="20"/>
          <w:rtl w:val="0"/>
        </w:rPr>
        <w:t xml:space="preserve">затвердження, внесення змін до Політики з ПВК/ФТ - в строки, визначені нормативними документами Національного банку України.</w:t>
      </w:r>
    </w:p>
    <w:p w:rsidR="00000000" w:rsidDel="00000000" w:rsidP="00000000" w:rsidRDefault="00000000" w:rsidRPr="00000000" w14:paraId="000000D1">
      <w:pPr>
        <w:numPr>
          <w:ilvl w:val="0"/>
          <w:numId w:val="15"/>
        </w:numPr>
        <w:spacing w:after="120" w:before="120" w:line="360" w:lineRule="auto"/>
        <w:ind w:left="567" w:hanging="567"/>
        <w:jc w:val="both"/>
        <w:rPr>
          <w:color w:val="002060"/>
          <w:sz w:val="20"/>
          <w:szCs w:val="20"/>
        </w:rPr>
      </w:pPr>
      <w:r w:rsidDel="00000000" w:rsidR="00000000" w:rsidRPr="00000000">
        <w:rPr>
          <w:rFonts w:ascii="Arial" w:cs="Arial" w:eastAsia="Arial" w:hAnsi="Arial"/>
          <w:color w:val="002060"/>
          <w:sz w:val="20"/>
          <w:szCs w:val="20"/>
          <w:rtl w:val="0"/>
        </w:rPr>
        <w:t xml:space="preserve">приймання на роботу в Банк - до початку виконання посадових обов'язків.</w:t>
      </w:r>
    </w:p>
    <w:p w:rsidR="00000000" w:rsidDel="00000000" w:rsidP="00000000" w:rsidRDefault="00000000" w:rsidRPr="00000000" w14:paraId="000000D2">
      <w:pPr>
        <w:tabs>
          <w:tab w:val="left" w:leader="none" w:pos="567"/>
        </w:tabs>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За неналежне виконання працівниками вимог даної Політики з ПВК/ФТ, Банком можуть бути прийняті заходи впливу в межах чинного законодавства України.</w:t>
      </w:r>
    </w:p>
    <w:p w:rsidR="00000000" w:rsidDel="00000000" w:rsidP="00000000" w:rsidRDefault="00000000" w:rsidRPr="00000000" w14:paraId="000000D3">
      <w:pPr>
        <w:tabs>
          <w:tab w:val="left" w:leader="none" w:pos="567"/>
        </w:tabs>
        <w:spacing w:after="120" w:before="120" w:line="360" w:lineRule="auto"/>
        <w:jc w:val="both"/>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У випадку невідповідності будь-якої частини цієї Політики з ПВК/ФТ чинному законодавству України, в тому числі у зв’язку з прийняттям нових актів законодавства України або нормативно-правових актів Національного банку України, ця Політика діє в тій частині, яка не суперечить законодавству.</w:t>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134" w:top="1134" w:left="1701" w:right="85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9"/>
      <w:gridCol w:w="2729"/>
      <w:gridCol w:w="2152"/>
      <w:gridCol w:w="2450"/>
      <w:tblGridChange w:id="0">
        <w:tblGrid>
          <w:gridCol w:w="2239"/>
          <w:gridCol w:w="2729"/>
          <w:gridCol w:w="2152"/>
          <w:gridCol w:w="2450"/>
        </w:tblGrid>
      </w:tblGridChange>
    </w:tblGrid>
    <w:tr>
      <w:trPr>
        <w:cantSplit w:val="0"/>
        <w:tblHeader w:val="0"/>
      </w:trPr>
      <w:tc>
        <w:tcPr>
          <w:vMerge w:val="restart"/>
        </w:tcPr>
        <w:p w:rsidR="00000000" w:rsidDel="00000000" w:rsidP="00000000" w:rsidRDefault="00000000" w:rsidRPr="00000000" w14:paraId="000000DF">
          <w:pPr>
            <w:spacing w:after="0" w:line="240" w:lineRule="auto"/>
            <w:rPr>
              <w:rFonts w:ascii="Arial" w:cs="Arial" w:eastAsia="Arial" w:hAnsi="Arial"/>
              <w:b w:val="1"/>
              <w:color w:val="003366"/>
              <w:sz w:val="20"/>
              <w:szCs w:val="20"/>
            </w:rPr>
          </w:pPr>
          <w:r w:rsidDel="00000000" w:rsidR="00000000" w:rsidRPr="00000000">
            <w:rPr>
              <w:rFonts w:ascii="Arial" w:cs="Arial" w:eastAsia="Arial" w:hAnsi="Arial"/>
              <w:color w:val="003366"/>
              <w:sz w:val="20"/>
              <w:szCs w:val="20"/>
              <w:rtl w:val="0"/>
            </w:rPr>
            <w:t xml:space="preserve">Управління  фінансового моніторингу </w:t>
          </w:r>
          <w:r w:rsidDel="00000000" w:rsidR="00000000" w:rsidRPr="00000000">
            <w:rPr>
              <w:rtl w:val="0"/>
            </w:rPr>
          </w:r>
        </w:p>
      </w:tc>
      <w:tc>
        <w:tcPr>
          <w:vAlign w:val="center"/>
        </w:tcPr>
        <w:p w:rsidR="00000000" w:rsidDel="00000000" w:rsidP="00000000" w:rsidRDefault="00000000" w:rsidRPr="00000000" w14:paraId="000000E0">
          <w:pPr>
            <w:spacing w:after="0" w:line="240" w:lineRule="auto"/>
            <w:jc w:val="center"/>
            <w:rPr>
              <w:rFonts w:ascii="Arial" w:cs="Arial" w:eastAsia="Arial" w:hAnsi="Arial"/>
              <w:b w:val="1"/>
              <w:color w:val="003366"/>
              <w:sz w:val="20"/>
              <w:szCs w:val="20"/>
            </w:rPr>
          </w:pPr>
          <w:r w:rsidDel="00000000" w:rsidR="00000000" w:rsidRPr="00000000">
            <w:rPr>
              <w:rFonts w:ascii="Arial" w:cs="Arial" w:eastAsia="Arial" w:hAnsi="Arial"/>
              <w:color w:val="003366"/>
              <w:sz w:val="20"/>
              <w:szCs w:val="20"/>
              <w:rtl w:val="0"/>
            </w:rPr>
            <w:t xml:space="preserve">Код версії</w:t>
          </w:r>
          <w:r w:rsidDel="00000000" w:rsidR="00000000" w:rsidRPr="00000000">
            <w:rPr>
              <w:rtl w:val="0"/>
            </w:rPr>
          </w:r>
        </w:p>
      </w:tc>
      <w:tc>
        <w:tcPr>
          <w:vAlign w:val="center"/>
        </w:tcPr>
        <w:p w:rsidR="00000000" w:rsidDel="00000000" w:rsidP="00000000" w:rsidRDefault="00000000" w:rsidRPr="00000000" w14:paraId="000000E1">
          <w:pPr>
            <w:spacing w:after="0" w:line="240" w:lineRule="auto"/>
            <w:jc w:val="center"/>
            <w:rPr>
              <w:rFonts w:ascii="Arial" w:cs="Arial" w:eastAsia="Arial" w:hAnsi="Arial"/>
              <w:b w:val="1"/>
              <w:color w:val="003366"/>
              <w:sz w:val="20"/>
              <w:szCs w:val="20"/>
            </w:rPr>
          </w:pPr>
          <w:r w:rsidDel="00000000" w:rsidR="00000000" w:rsidRPr="00000000">
            <w:rPr>
              <w:rFonts w:ascii="Arial" w:cs="Arial" w:eastAsia="Arial" w:hAnsi="Arial"/>
              <w:color w:val="003366"/>
              <w:sz w:val="20"/>
              <w:szCs w:val="20"/>
              <w:rtl w:val="0"/>
            </w:rPr>
            <w:t xml:space="preserve">Дата версії</w:t>
          </w:r>
          <w:r w:rsidDel="00000000" w:rsidR="00000000" w:rsidRPr="00000000">
            <w:rPr>
              <w:rtl w:val="0"/>
            </w:rPr>
          </w:r>
        </w:p>
      </w:tc>
      <w:tc>
        <w:tcPr>
          <w:vAlign w:val="center"/>
        </w:tcPr>
        <w:p w:rsidR="00000000" w:rsidDel="00000000" w:rsidP="00000000" w:rsidRDefault="00000000" w:rsidRPr="00000000" w14:paraId="000000E2">
          <w:pPr>
            <w:spacing w:after="0" w:line="240" w:lineRule="auto"/>
            <w:jc w:val="center"/>
            <w:rPr>
              <w:rFonts w:ascii="Arial" w:cs="Arial" w:eastAsia="Arial" w:hAnsi="Arial"/>
              <w:b w:val="1"/>
              <w:color w:val="003366"/>
              <w:sz w:val="20"/>
              <w:szCs w:val="20"/>
            </w:rPr>
          </w:pPr>
          <w:r w:rsidDel="00000000" w:rsidR="00000000" w:rsidRPr="00000000">
            <w:rPr>
              <w:rFonts w:ascii="Arial" w:cs="Arial" w:eastAsia="Arial" w:hAnsi="Arial"/>
              <w:color w:val="003366"/>
              <w:sz w:val="20"/>
              <w:szCs w:val="20"/>
              <w:rtl w:val="0"/>
            </w:rPr>
            <w:t xml:space="preserve">Сторінки</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3366"/>
              <w:sz w:val="20"/>
              <w:szCs w:val="20"/>
            </w:rPr>
          </w:pPr>
          <w:r w:rsidDel="00000000" w:rsidR="00000000" w:rsidRPr="00000000">
            <w:rPr>
              <w:rtl w:val="0"/>
            </w:rPr>
          </w:r>
        </w:p>
      </w:tc>
      <w:tc>
        <w:tcPr>
          <w:vAlign w:val="center"/>
        </w:tcPr>
        <w:p w:rsidR="00000000" w:rsidDel="00000000" w:rsidP="00000000" w:rsidRDefault="00000000" w:rsidRPr="00000000" w14:paraId="000000E4">
          <w:pPr>
            <w:spacing w:after="0" w:line="240" w:lineRule="auto"/>
            <w:rPr>
              <w:rFonts w:ascii="Arial" w:cs="Arial" w:eastAsia="Arial" w:hAnsi="Arial"/>
              <w:color w:val="003366"/>
              <w:sz w:val="20"/>
              <w:szCs w:val="20"/>
            </w:rPr>
          </w:pPr>
          <w:r w:rsidDel="00000000" w:rsidR="00000000" w:rsidRPr="00000000">
            <w:rPr>
              <w:rtl w:val="0"/>
            </w:rPr>
          </w:r>
        </w:p>
        <w:p w:rsidR="00000000" w:rsidDel="00000000" w:rsidP="00000000" w:rsidRDefault="00000000" w:rsidRPr="00000000" w14:paraId="000000E5">
          <w:pPr>
            <w:spacing w:after="0" w:line="240" w:lineRule="auto"/>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              826</w:t>
          </w:r>
        </w:p>
        <w:p w:rsidR="00000000" w:rsidDel="00000000" w:rsidP="00000000" w:rsidRDefault="00000000" w:rsidRPr="00000000" w14:paraId="000000E6">
          <w:pPr>
            <w:spacing w:after="0" w:line="240" w:lineRule="auto"/>
            <w:rPr>
              <w:rFonts w:ascii="Arial" w:cs="Arial" w:eastAsia="Arial" w:hAnsi="Arial"/>
              <w:color w:val="003366"/>
              <w:sz w:val="20"/>
              <w:szCs w:val="20"/>
            </w:rPr>
          </w:pPr>
          <w:r w:rsidDel="00000000" w:rsidR="00000000" w:rsidRPr="00000000">
            <w:rPr>
              <w:rtl w:val="0"/>
            </w:rPr>
          </w:r>
        </w:p>
      </w:tc>
      <w:tc>
        <w:tcPr>
          <w:vAlign w:val="center"/>
        </w:tcPr>
        <w:p w:rsidR="00000000" w:rsidDel="00000000" w:rsidP="00000000" w:rsidRDefault="00000000" w:rsidRPr="00000000" w14:paraId="000000E7">
          <w:pPr>
            <w:spacing w:after="0" w:line="240" w:lineRule="auto"/>
            <w:ind w:firstLine="426"/>
            <w:rPr>
              <w:rFonts w:ascii="Arial" w:cs="Arial" w:eastAsia="Arial" w:hAnsi="Arial"/>
              <w:color w:val="003366"/>
              <w:sz w:val="20"/>
              <w:szCs w:val="20"/>
            </w:rPr>
          </w:pPr>
          <w:r w:rsidDel="00000000" w:rsidR="00000000" w:rsidRPr="00000000">
            <w:rPr>
              <w:rFonts w:ascii="Arial" w:cs="Arial" w:eastAsia="Arial" w:hAnsi="Arial"/>
              <w:color w:val="003366"/>
              <w:sz w:val="20"/>
              <w:szCs w:val="20"/>
              <w:rtl w:val="0"/>
            </w:rPr>
            <w:t xml:space="preserve">   </w:t>
          </w:r>
        </w:p>
        <w:p w:rsidR="00000000" w:rsidDel="00000000" w:rsidP="00000000" w:rsidRDefault="00000000" w:rsidRPr="00000000" w14:paraId="000000E8">
          <w:pPr>
            <w:spacing w:after="0" w:line="240" w:lineRule="auto"/>
            <w:ind w:firstLine="426"/>
            <w:rPr>
              <w:rFonts w:ascii="Arial" w:cs="Arial" w:eastAsia="Arial" w:hAnsi="Arial"/>
              <w:color w:val="003366"/>
              <w:sz w:val="20"/>
              <w:szCs w:val="20"/>
            </w:rPr>
          </w:pPr>
          <w:bookmarkStart w:colFirst="0" w:colLast="0" w:name="_2xcytpi" w:id="22"/>
          <w:bookmarkEnd w:id="22"/>
          <w:r w:rsidDel="00000000" w:rsidR="00000000" w:rsidRPr="00000000">
            <w:rPr>
              <w:rFonts w:ascii="Arial" w:cs="Arial" w:eastAsia="Arial" w:hAnsi="Arial"/>
              <w:color w:val="003366"/>
              <w:sz w:val="20"/>
              <w:szCs w:val="20"/>
              <w:rtl w:val="0"/>
            </w:rPr>
            <w:t xml:space="preserve">13/12/2023</w:t>
          </w:r>
        </w:p>
      </w:tc>
      <w:tc>
        <w:tcPr>
          <w:vAlign w:val="center"/>
        </w:tcPr>
        <w:p w:rsidR="00000000" w:rsidDel="00000000" w:rsidP="00000000" w:rsidRDefault="00000000" w:rsidRPr="00000000" w14:paraId="000000E9">
          <w:pPr>
            <w:tabs>
              <w:tab w:val="center" w:leader="none" w:pos="4986"/>
              <w:tab w:val="right" w:leader="none" w:pos="9973"/>
            </w:tabs>
            <w:spacing w:after="0" w:line="240" w:lineRule="auto"/>
            <w:jc w:val="center"/>
            <w:rPr>
              <w:rFonts w:ascii="Calibri" w:cs="Calibri" w:eastAsia="Calibri" w:hAnsi="Calibri"/>
              <w:b w:val="1"/>
              <w:color w:val="003366"/>
            </w:rPr>
          </w:pPr>
          <w:r w:rsidDel="00000000" w:rsidR="00000000" w:rsidRPr="00000000">
            <w:rPr>
              <w:rFonts w:ascii="Arial" w:cs="Arial" w:eastAsia="Arial" w:hAnsi="Arial"/>
              <w:b w:val="1"/>
              <w:color w:val="003366"/>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3366"/>
              <w:sz w:val="20"/>
              <w:szCs w:val="20"/>
              <w:rtl w:val="0"/>
            </w:rPr>
            <w:t xml:space="preserve"> з </w:t>
          </w:r>
          <w:r w:rsidDel="00000000" w:rsidR="00000000" w:rsidRPr="00000000">
            <w:rPr>
              <w:rFonts w:ascii="Arial" w:cs="Arial" w:eastAsia="Arial" w:hAnsi="Arial"/>
              <w:b w:val="1"/>
              <w:color w:val="003366"/>
              <w:sz w:val="20"/>
              <w:szCs w:val="20"/>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206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2060"/>
          <w:sz w:val="16"/>
          <w:szCs w:val="16"/>
          <w:u w:val="none"/>
          <w:shd w:fill="auto" w:val="clear"/>
          <w:vertAlign w:val="baseline"/>
          <w:rtl w:val="0"/>
        </w:rPr>
        <w:t xml:space="preserve">є складовою Ризик-апетиту Банку до Комплаєнс-ризиків/ Compliance Risks,  та складовою Ризику відмивання коштів/ фінансування тероризму/ Money-laundering/ Terrorism Financing (ML/TF) Risk. На даний час Банк має нульову толерантність до таких ризиків – див. діючу версію Додатку II: Квантифікована Схильність до ризику (Quantitative Risk Appetite Statements), Здатність до ризику (Risk Bearing Capacity), Індикатори моніторингу (Monitoring Indicators) Сигнали раннього попередження (EWS) до Стратегії управління ризиками та капіталом АТ «ПІРЕУС БАНК МКБ» .</w:t>
      </w:r>
    </w:p>
  </w:footnote>
  <w:footnote w:id="1">
    <w:p w:rsidR="00000000" w:rsidDel="00000000" w:rsidP="00000000" w:rsidRDefault="00000000" w:rsidRPr="00000000" w14:paraId="000000D5">
      <w:pPr>
        <w:spacing w:after="0" w:line="240" w:lineRule="auto"/>
        <w:rPr>
          <w:rFonts w:ascii="Arial" w:cs="Arial" w:eastAsia="Arial" w:hAnsi="Arial"/>
          <w:color w:val="002060"/>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color w:val="002060"/>
          <w:sz w:val="16"/>
          <w:szCs w:val="16"/>
          <w:rtl w:val="0"/>
        </w:rPr>
        <w:t xml:space="preserve">Кожна лінія захисту Банку з метою належної організації внутрішньобанківської системи ПВК/ФТ та проведення первинного фінансового моніторингу, згідно з визначеними повноваженнями, вживає відповідні заходи.</w:t>
      </w:r>
    </w:p>
    <w:p w:rsidR="00000000" w:rsidDel="00000000" w:rsidP="00000000" w:rsidRDefault="00000000" w:rsidRPr="00000000" w14:paraId="000000D6">
      <w:pPr>
        <w:spacing w:after="0" w:line="240" w:lineRule="auto"/>
        <w:rPr>
          <w:rFonts w:ascii="Arial" w:cs="Arial" w:eastAsia="Arial" w:hAnsi="Arial"/>
          <w:color w:val="002060"/>
          <w:sz w:val="16"/>
          <w:szCs w:val="16"/>
        </w:rPr>
      </w:pPr>
      <w:r w:rsidDel="00000000" w:rsidR="00000000" w:rsidRPr="00000000">
        <w:rPr>
          <w:rFonts w:ascii="Arial" w:cs="Arial" w:eastAsia="Arial" w:hAnsi="Arial"/>
          <w:color w:val="002060"/>
          <w:sz w:val="16"/>
          <w:szCs w:val="16"/>
          <w:rtl w:val="0"/>
        </w:rPr>
        <w:t xml:space="preserve">Даний розподіл обов’язків та відповідальності стосується виключно побудови захисту в сфері ПВК/ФТ на виконання вимог Постанови НБУ №65, побудова загальної банківської системи управління ризиками, згідно вимог Постанови НБУ №64 та вимог Групи Piraeus SA, базується на розподілі, який визначено у внутрішньобанківських документах з питань управління ризиками.</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8">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3366"/>
        <w:sz w:val="20"/>
        <w:szCs w:val="20"/>
        <w:u w:val="none"/>
        <w:shd w:fill="auto" w:val="clear"/>
        <w:vertAlign w:val="baseline"/>
      </w:rPr>
    </w:pPr>
    <w:r w:rsidDel="00000000" w:rsidR="00000000" w:rsidRPr="00000000">
      <w:rPr>
        <w:rFonts w:ascii="Arial" w:cs="Arial" w:eastAsia="Arial" w:hAnsi="Arial"/>
        <w:b w:val="1"/>
        <w:i w:val="0"/>
        <w:smallCaps w:val="0"/>
        <w:strike w:val="0"/>
        <w:color w:val="003366"/>
        <w:sz w:val="20"/>
        <w:szCs w:val="20"/>
        <w:u w:val="none"/>
        <w:shd w:fill="auto" w:val="clear"/>
        <w:vertAlign w:val="baseline"/>
      </w:rPr>
      <w:drawing>
        <wp:inline distB="0" distT="0" distL="0" distR="0">
          <wp:extent cx="1028700" cy="352425"/>
          <wp:effectExtent b="0" l="0" r="0" t="0"/>
          <wp:docPr id="2" name="image3.png"/>
          <a:graphic>
            <a:graphicData uri="http://schemas.openxmlformats.org/drawingml/2006/picture">
              <pic:pic>
                <pic:nvPicPr>
                  <pic:cNvPr id="0" name="image3.png"/>
                  <pic:cNvPicPr preferRelativeResize="0"/>
                </pic:nvPicPr>
                <pic:blipFill>
                  <a:blip r:embed="rId2"/>
                  <a:srcRect b="17075" l="6847" r="21318" t="12820"/>
                  <a:stretch>
                    <a:fillRect/>
                  </a:stretch>
                </pic:blipFill>
                <pic:spPr>
                  <a:xfrm>
                    <a:off x="0" y="0"/>
                    <a:ext cx="1028700" cy="352425"/>
                  </a:xfrm>
                  <a:prstGeom prst="rect"/>
                  <a:ln/>
                </pic:spPr>
              </pic:pic>
            </a:graphicData>
          </a:graphic>
        </wp:inline>
      </w:drawing>
    </w:r>
    <w:r w:rsidDel="00000000" w:rsidR="00000000" w:rsidRPr="00000000">
      <w:rPr>
        <w:rFonts w:ascii="Arial" w:cs="Arial" w:eastAsia="Arial" w:hAnsi="Arial"/>
        <w:b w:val="1"/>
        <w:i w:val="0"/>
        <w:smallCaps w:val="0"/>
        <w:strike w:val="0"/>
        <w:color w:val="003366"/>
        <w:sz w:val="16"/>
        <w:szCs w:val="16"/>
        <w:u w:val="none"/>
        <w:shd w:fill="auto" w:val="clear"/>
        <w:vertAlign w:val="baseline"/>
        <w:rtl w:val="0"/>
      </w:rPr>
      <w:t xml:space="preserve">ПОЛІТИКА АТ «ПІРЕУС БАНК МКБ»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571" w:hanging="360"/>
      </w:pPr>
      <w:rPr/>
    </w:lvl>
    <w:lvl w:ilvl="1">
      <w:start w:val="1"/>
      <w:numFmt w:val="lowerLetter"/>
      <w:lvlText w:val="%2."/>
      <w:lvlJc w:val="left"/>
      <w:pPr>
        <w:ind w:left="2291" w:hanging="360"/>
      </w:pPr>
      <w:rPr/>
    </w:lvl>
    <w:lvl w:ilvl="2">
      <w:start w:val="1"/>
      <w:numFmt w:val="lowerRoman"/>
      <w:lvlText w:val="%3."/>
      <w:lvlJc w:val="right"/>
      <w:pPr>
        <w:ind w:left="3011" w:hanging="180"/>
      </w:pPr>
      <w:rPr/>
    </w:lvl>
    <w:lvl w:ilvl="3">
      <w:start w:val="1"/>
      <w:numFmt w:val="decimal"/>
      <w:lvlText w:val="%4."/>
      <w:lvlJc w:val="left"/>
      <w:pPr>
        <w:ind w:left="3731" w:hanging="360"/>
      </w:pPr>
      <w:rPr/>
    </w:lvl>
    <w:lvl w:ilvl="4">
      <w:start w:val="1"/>
      <w:numFmt w:val="lowerLetter"/>
      <w:lvlText w:val="%5."/>
      <w:lvlJc w:val="left"/>
      <w:pPr>
        <w:ind w:left="4451" w:hanging="360"/>
      </w:pPr>
      <w:rPr/>
    </w:lvl>
    <w:lvl w:ilvl="5">
      <w:start w:val="1"/>
      <w:numFmt w:val="lowerRoman"/>
      <w:lvlText w:val="%6."/>
      <w:lvlJc w:val="right"/>
      <w:pPr>
        <w:ind w:left="5171" w:hanging="180"/>
      </w:pPr>
      <w:rPr/>
    </w:lvl>
    <w:lvl w:ilvl="6">
      <w:start w:val="1"/>
      <w:numFmt w:val="decimal"/>
      <w:lvlText w:val="%7."/>
      <w:lvlJc w:val="left"/>
      <w:pPr>
        <w:ind w:left="5891" w:hanging="360"/>
      </w:pPr>
      <w:rPr/>
    </w:lvl>
    <w:lvl w:ilvl="7">
      <w:start w:val="1"/>
      <w:numFmt w:val="lowerLetter"/>
      <w:lvlText w:val="%8."/>
      <w:lvlJc w:val="left"/>
      <w:pPr>
        <w:ind w:left="6611" w:hanging="360"/>
      </w:pPr>
      <w:rPr/>
    </w:lvl>
    <w:lvl w:ilvl="8">
      <w:start w:val="1"/>
      <w:numFmt w:val="lowerRoman"/>
      <w:lvlText w:val="%9."/>
      <w:lvlJc w:val="right"/>
      <w:pPr>
        <w:ind w:left="7331" w:hanging="180"/>
      </w:pPr>
      <w:rPr/>
    </w:lvl>
  </w:abstractNum>
  <w:abstractNum w:abstractNumId="2">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lvl>
    <w:lvl w:ilvl="1">
      <w:start w:val="1"/>
      <w:numFmt w:val="decimal"/>
      <w:lvlText w:val="%1.%2."/>
      <w:lvlJc w:val="left"/>
      <w:pPr>
        <w:ind w:left="792" w:hanging="432"/>
      </w:pPr>
      <w:rPr>
        <w:b w:val="1"/>
      </w:rPr>
    </w:lvl>
    <w:lvl w:ilvl="2">
      <w:start w:val="1"/>
      <w:numFmt w:val="decimal"/>
      <w:lvlText w:val="%1.%2.%3."/>
      <w:lvlJc w:val="left"/>
      <w:pPr>
        <w:ind w:left="1224" w:hanging="504"/>
      </w:pPr>
      <w:rPr>
        <w:b w:val="1"/>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4"/>
      <w:numFmt w:val="decimal"/>
      <w:lvlText w:val="%1."/>
      <w:lvlJc w:val="left"/>
      <w:pPr>
        <w:ind w:left="420" w:hanging="420"/>
      </w:pPr>
      <w:rPr/>
    </w:lvl>
    <w:lvl w:ilvl="1">
      <w:start w:val="3"/>
      <w:numFmt w:val="decimal"/>
      <w:lvlText w:val="%1.%2."/>
      <w:lvlJc w:val="left"/>
      <w:pPr>
        <w:ind w:left="420" w:hanging="42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0">
    <w:lvl w:ilvl="0">
      <w:start w:val="4"/>
      <w:numFmt w:val="decimal"/>
      <w:lvlText w:val="%1."/>
      <w:lvlJc w:val="left"/>
      <w:pPr>
        <w:ind w:left="360" w:hanging="360"/>
      </w:pPr>
      <w:rPr/>
    </w:lvl>
    <w:lvl w:ilvl="1">
      <w:start w:val="1"/>
      <w:numFmt w:val="decimal"/>
      <w:lvlText w:val="%1.%2."/>
      <w:lvlJc w:val="left"/>
      <w:pPr>
        <w:ind w:left="792" w:hanging="432"/>
      </w:pPr>
      <w:rPr>
        <w:b w:val="1"/>
      </w:rPr>
    </w:lvl>
    <w:lvl w:ilvl="2">
      <w:start w:val="1"/>
      <w:numFmt w:val="decimal"/>
      <w:lvlText w:val="%1.%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1">
    <w:lvl w:ilvl="0">
      <w:start w:val="8"/>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643"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6"/>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144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left"/>
      <w:pPr>
        <w:ind w:left="2160" w:hanging="360"/>
      </w:pPr>
      <w:rPr/>
    </w:lvl>
    <w:lvl w:ilvl="3">
      <w:start w:val="1"/>
      <w:numFmt w:val="decimal"/>
      <w:lvlText w:val="(%4)"/>
      <w:lvlJc w:val="left"/>
      <w:pPr>
        <w:ind w:left="2520" w:hanging="360"/>
      </w:pPr>
      <w:rPr/>
    </w:lvl>
    <w:lvl w:ilvl="4">
      <w:start w:val="1"/>
      <w:numFmt w:val="lowerLetter"/>
      <w:lvlText w:val="(%5)"/>
      <w:lvlJc w:val="left"/>
      <w:pPr>
        <w:ind w:left="2880" w:hanging="360"/>
      </w:pPr>
      <w:rPr/>
    </w:lvl>
    <w:lvl w:ilvl="5">
      <w:start w:val="1"/>
      <w:numFmt w:val="lowerRoman"/>
      <w:lvlText w:val="(%6)"/>
      <w:lvlJc w:val="left"/>
      <w:pPr>
        <w:ind w:left="3240" w:hanging="360"/>
      </w:pPr>
      <w:rPr/>
    </w:lvl>
    <w:lvl w:ilvl="6">
      <w:start w:val="1"/>
      <w:numFmt w:val="decimal"/>
      <w:lvlText w:val="%7."/>
      <w:lvlJc w:val="left"/>
      <w:pPr>
        <w:ind w:left="3600" w:hanging="360"/>
      </w:pPr>
      <w:rPr/>
    </w:lvl>
    <w:lvl w:ilvl="7">
      <w:start w:val="1"/>
      <w:numFmt w:val="lowerLetter"/>
      <w:lvlText w:val="%8."/>
      <w:lvlJc w:val="left"/>
      <w:pPr>
        <w:ind w:left="3960" w:hanging="360"/>
      </w:pPr>
      <w:rPr/>
    </w:lvl>
    <w:lvl w:ilvl="8">
      <w:start w:val="1"/>
      <w:numFmt w:val="lowerRoman"/>
      <w:lvlText w:val="%9."/>
      <w:lvlJc w:val="left"/>
      <w:pPr>
        <w:ind w:left="4320" w:hanging="360"/>
      </w:pPr>
      <w:rPr/>
    </w:lvl>
  </w:abstractNum>
  <w:abstractNum w:abstractNumId="19">
    <w:lvl w:ilvl="0">
      <w:start w:val="1"/>
      <w:numFmt w:val="bullet"/>
      <w:lvlText w:val="⮚"/>
      <w:lvlJc w:val="left"/>
      <w:pPr>
        <w:ind w:left="1584" w:hanging="360"/>
      </w:pPr>
      <w:rPr>
        <w:rFonts w:ascii="Noto Sans Symbols" w:cs="Noto Sans Symbols" w:eastAsia="Noto Sans Symbols" w:hAnsi="Noto Sans Symbols"/>
      </w:rPr>
    </w:lvl>
    <w:lvl w:ilvl="1">
      <w:start w:val="1"/>
      <w:numFmt w:val="bullet"/>
      <w:lvlText w:val="✔"/>
      <w:lvlJc w:val="left"/>
      <w:pPr>
        <w:ind w:left="2304" w:hanging="360"/>
      </w:pPr>
      <w:rPr>
        <w:rFonts w:ascii="Noto Sans Symbols" w:cs="Noto Sans Symbols" w:eastAsia="Noto Sans Symbols" w:hAnsi="Noto Sans Symbols"/>
      </w:rPr>
    </w:lvl>
    <w:lvl w:ilvl="2">
      <w:start w:val="1"/>
      <w:numFmt w:val="bullet"/>
      <w:lvlText w:val="▪"/>
      <w:lvlJc w:val="left"/>
      <w:pPr>
        <w:ind w:left="3024" w:hanging="360"/>
      </w:pPr>
      <w:rPr>
        <w:rFonts w:ascii="Noto Sans Symbols" w:cs="Noto Sans Symbols" w:eastAsia="Noto Sans Symbols" w:hAnsi="Noto Sans Symbols"/>
      </w:rPr>
    </w:lvl>
    <w:lvl w:ilvl="3">
      <w:start w:val="1"/>
      <w:numFmt w:val="bullet"/>
      <w:lvlText w:val="●"/>
      <w:lvlJc w:val="left"/>
      <w:pPr>
        <w:ind w:left="3744" w:hanging="360"/>
      </w:pPr>
      <w:rPr>
        <w:rFonts w:ascii="Noto Sans Symbols" w:cs="Noto Sans Symbols" w:eastAsia="Noto Sans Symbols" w:hAnsi="Noto Sans Symbols"/>
      </w:rPr>
    </w:lvl>
    <w:lvl w:ilvl="4">
      <w:start w:val="1"/>
      <w:numFmt w:val="bullet"/>
      <w:lvlText w:val="o"/>
      <w:lvlJc w:val="left"/>
      <w:pPr>
        <w:ind w:left="4464" w:hanging="360"/>
      </w:pPr>
      <w:rPr>
        <w:rFonts w:ascii="Courier New" w:cs="Courier New" w:eastAsia="Courier New" w:hAnsi="Courier New"/>
      </w:rPr>
    </w:lvl>
    <w:lvl w:ilvl="5">
      <w:start w:val="1"/>
      <w:numFmt w:val="bullet"/>
      <w:lvlText w:val="▪"/>
      <w:lvlJc w:val="left"/>
      <w:pPr>
        <w:ind w:left="5184" w:hanging="360"/>
      </w:pPr>
      <w:rPr>
        <w:rFonts w:ascii="Noto Sans Symbols" w:cs="Noto Sans Symbols" w:eastAsia="Noto Sans Symbols" w:hAnsi="Noto Sans Symbols"/>
      </w:rPr>
    </w:lvl>
    <w:lvl w:ilvl="6">
      <w:start w:val="1"/>
      <w:numFmt w:val="bullet"/>
      <w:lvlText w:val="●"/>
      <w:lvlJc w:val="left"/>
      <w:pPr>
        <w:ind w:left="5904" w:hanging="360"/>
      </w:pPr>
      <w:rPr>
        <w:rFonts w:ascii="Noto Sans Symbols" w:cs="Noto Sans Symbols" w:eastAsia="Noto Sans Symbols" w:hAnsi="Noto Sans Symbols"/>
      </w:rPr>
    </w:lvl>
    <w:lvl w:ilvl="7">
      <w:start w:val="1"/>
      <w:numFmt w:val="bullet"/>
      <w:lvlText w:val="o"/>
      <w:lvlJc w:val="left"/>
      <w:pPr>
        <w:ind w:left="6624" w:hanging="360"/>
      </w:pPr>
      <w:rPr>
        <w:rFonts w:ascii="Courier New" w:cs="Courier New" w:eastAsia="Courier New" w:hAnsi="Courier New"/>
      </w:rPr>
    </w:lvl>
    <w:lvl w:ilvl="8">
      <w:start w:val="1"/>
      <w:numFmt w:val="bullet"/>
      <w:lvlText w:val="▪"/>
      <w:lvlJc w:val="left"/>
      <w:pPr>
        <w:ind w:left="7344"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